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935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5"/>
        <w:gridCol w:w="990"/>
      </w:tblGrid>
      <w:tr w:rsidR="003E4C97" w:rsidTr="003E4C97">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073763"/>
          </w:tcPr>
          <w:p w:rsidR="003E4C97" w:rsidRDefault="00097237">
            <w:pPr>
              <w:jc w:val="center"/>
              <w:rPr>
                <w:rFonts w:ascii="Arial" w:eastAsia="Arial" w:hAnsi="Arial" w:cs="Arial"/>
                <w:color w:val="FFFFFF"/>
                <w:sz w:val="36"/>
                <w:szCs w:val="36"/>
              </w:rPr>
            </w:pPr>
            <w:r>
              <w:rPr>
                <w:rFonts w:ascii="Arial" w:eastAsia="Arial" w:hAnsi="Arial" w:cs="Arial"/>
                <w:color w:val="FFFFFF"/>
                <w:sz w:val="28"/>
                <w:szCs w:val="28"/>
              </w:rPr>
              <w:t>Adult Data</w:t>
            </w:r>
          </w:p>
        </w:tc>
      </w:tr>
      <w:tr w:rsidR="003E4C97" w:rsidTr="003E4C97">
        <w:trPr>
          <w:cnfStyle w:val="000000100000" w:firstRow="0" w:lastRow="0" w:firstColumn="0" w:lastColumn="0" w:oddVBand="0" w:evenVBand="0" w:oddHBand="1"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C9DAF8"/>
          </w:tcPr>
          <w:p w:rsidR="003E4C97" w:rsidRDefault="00097237">
            <w:pPr>
              <w:jc w:val="center"/>
              <w:rPr>
                <w:rFonts w:ascii="Arial" w:eastAsia="Arial" w:hAnsi="Arial" w:cs="Arial"/>
                <w:sz w:val="20"/>
                <w:szCs w:val="20"/>
              </w:rPr>
            </w:pPr>
            <w:r>
              <w:rPr>
                <w:rFonts w:ascii="Arial" w:eastAsia="Arial" w:hAnsi="Arial" w:cs="Arial"/>
              </w:rPr>
              <w:t xml:space="preserve">Mental Health </w:t>
            </w:r>
          </w:p>
        </w:tc>
      </w:tr>
      <w:tr w:rsidR="003E4C97" w:rsidTr="003E4C97">
        <w:tc>
          <w:tcPr>
            <w:cnfStyle w:val="001000000000" w:firstRow="0" w:lastRow="0" w:firstColumn="1" w:lastColumn="0" w:oddVBand="0" w:evenVBand="0" w:oddHBand="0" w:evenHBand="0" w:firstRowFirstColumn="0" w:firstRowLastColumn="0" w:lastRowFirstColumn="0" w:lastRowLastColumn="0"/>
            <w:tcW w:w="8365" w:type="dxa"/>
          </w:tcPr>
          <w:p w:rsidR="003E4C97" w:rsidRDefault="00097237">
            <w:pPr>
              <w:rPr>
                <w:rFonts w:ascii="Arial" w:eastAsia="Arial" w:hAnsi="Arial" w:cs="Arial"/>
                <w:sz w:val="20"/>
                <w:szCs w:val="20"/>
              </w:rPr>
            </w:pPr>
            <w:r>
              <w:rPr>
                <w:rFonts w:ascii="Arial" w:eastAsia="Arial" w:hAnsi="Arial" w:cs="Arial"/>
                <w:sz w:val="20"/>
                <w:szCs w:val="20"/>
              </w:rPr>
              <w:t>Findings</w:t>
            </w:r>
          </w:p>
        </w:tc>
        <w:tc>
          <w:tcPr>
            <w:tcW w:w="990" w:type="dxa"/>
          </w:tcPr>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Source</w:t>
            </w:r>
          </w:p>
        </w:tc>
      </w:tr>
      <w:tr w:rsidR="003E4C97" w:rsidTr="003E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49% reported that their mental health was not good for 4 or more days in the past month</w:t>
            </w:r>
          </w:p>
          <w:p w:rsidR="003E4C97" w:rsidRDefault="00097237">
            <w:pPr>
              <w:numPr>
                <w:ilvl w:val="1"/>
                <w:numId w:val="6"/>
              </w:numPr>
              <w:ind w:left="785"/>
              <w:rPr>
                <w:rFonts w:ascii="Arial" w:eastAsia="Arial" w:hAnsi="Arial" w:cs="Arial"/>
                <w:sz w:val="20"/>
                <w:szCs w:val="20"/>
              </w:rPr>
            </w:pPr>
            <w:r>
              <w:rPr>
                <w:rFonts w:ascii="Arial" w:eastAsia="Arial" w:hAnsi="Arial" w:cs="Arial"/>
                <w:b w:val="0"/>
                <w:sz w:val="20"/>
                <w:szCs w:val="20"/>
              </w:rPr>
              <w:t>32% in 2018</w:t>
            </w:r>
          </w:p>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33% said that their mental health was not good for 8 or more days in the past 30 days</w:t>
            </w:r>
          </w:p>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12% reported being sad, depressed, or hopeless for 2 or more weeks</w:t>
            </w:r>
          </w:p>
          <w:p w:rsidR="003E4C97" w:rsidRDefault="00097237">
            <w:pPr>
              <w:numPr>
                <w:ilvl w:val="1"/>
                <w:numId w:val="6"/>
              </w:numPr>
              <w:ind w:left="785"/>
              <w:rPr>
                <w:rFonts w:ascii="Arial" w:eastAsia="Arial" w:hAnsi="Arial" w:cs="Arial"/>
                <w:sz w:val="20"/>
                <w:szCs w:val="20"/>
              </w:rPr>
            </w:pPr>
            <w:r>
              <w:rPr>
                <w:rFonts w:ascii="Arial" w:eastAsia="Arial" w:hAnsi="Arial" w:cs="Arial"/>
                <w:b w:val="0"/>
                <w:sz w:val="20"/>
                <w:szCs w:val="20"/>
              </w:rPr>
              <w:t xml:space="preserve">30% for people under age 30;18% for people with income under $25K </w:t>
            </w:r>
          </w:p>
          <w:p w:rsidR="003E4C97" w:rsidRDefault="00097237">
            <w:pPr>
              <w:numPr>
                <w:ilvl w:val="1"/>
                <w:numId w:val="6"/>
              </w:numPr>
              <w:ind w:left="785"/>
              <w:rPr>
                <w:rFonts w:ascii="Arial" w:eastAsia="Arial" w:hAnsi="Arial" w:cs="Arial"/>
                <w:sz w:val="20"/>
                <w:szCs w:val="20"/>
              </w:rPr>
            </w:pPr>
            <w:r>
              <w:rPr>
                <w:rFonts w:ascii="Arial" w:eastAsia="Arial" w:hAnsi="Arial" w:cs="Arial"/>
                <w:b w:val="0"/>
                <w:sz w:val="20"/>
                <w:szCs w:val="20"/>
              </w:rPr>
              <w:t>3% of adults attempted suicide,</w:t>
            </w:r>
            <w:r>
              <w:rPr>
                <w:rFonts w:ascii="Arial" w:eastAsia="Arial" w:hAnsi="Arial" w:cs="Arial"/>
                <w:sz w:val="20"/>
                <w:szCs w:val="20"/>
              </w:rPr>
              <w:t xml:space="preserve"> </w:t>
            </w:r>
            <w:r>
              <w:rPr>
                <w:rFonts w:ascii="Arial" w:eastAsia="Arial" w:hAnsi="Arial" w:cs="Arial"/>
                <w:b w:val="0"/>
                <w:sz w:val="20"/>
                <w:szCs w:val="20"/>
              </w:rPr>
              <w:t>and 3% considered attempting suicide</w:t>
            </w:r>
          </w:p>
          <w:p w:rsidR="007A7025" w:rsidRPr="007A7025" w:rsidRDefault="00097237">
            <w:pPr>
              <w:numPr>
                <w:ilvl w:val="1"/>
                <w:numId w:val="6"/>
              </w:numPr>
              <w:ind w:left="785"/>
              <w:rPr>
                <w:rFonts w:ascii="Arial" w:eastAsia="Arial" w:hAnsi="Arial" w:cs="Arial"/>
                <w:sz w:val="20"/>
                <w:szCs w:val="20"/>
              </w:rPr>
            </w:pPr>
            <w:r>
              <w:rPr>
                <w:rFonts w:ascii="Arial" w:eastAsia="Arial" w:hAnsi="Arial" w:cs="Arial"/>
                <w:b w:val="0"/>
                <w:sz w:val="20"/>
                <w:szCs w:val="20"/>
              </w:rPr>
              <w:t>38% reported stress, anxiety, depression, other emoti</w:t>
            </w:r>
            <w:r>
              <w:rPr>
                <w:rFonts w:ascii="Arial" w:eastAsia="Arial" w:hAnsi="Arial" w:cs="Arial"/>
                <w:b w:val="0"/>
                <w:sz w:val="20"/>
                <w:szCs w:val="20"/>
              </w:rPr>
              <w:t>onal problems</w:t>
            </w:r>
            <w:r>
              <w:rPr>
                <w:rFonts w:ascii="Arial" w:eastAsia="Arial" w:hAnsi="Arial" w:cs="Arial"/>
                <w:b w:val="0"/>
                <w:sz w:val="20"/>
                <w:szCs w:val="20"/>
              </w:rPr>
              <w:t xml:space="preserve"> and physical health precluded them from usual activities like self-care, work</w:t>
            </w:r>
            <w:r>
              <w:rPr>
                <w:rFonts w:ascii="Arial" w:eastAsia="Arial" w:hAnsi="Arial" w:cs="Arial"/>
                <w:b w:val="0"/>
                <w:sz w:val="20"/>
                <w:szCs w:val="20"/>
              </w:rPr>
              <w:t xml:space="preserve"> and recreation</w:t>
            </w:r>
          </w:p>
          <w:p w:rsidR="003E4C97" w:rsidRDefault="00097237" w:rsidP="007A7025">
            <w:pPr>
              <w:numPr>
                <w:ilvl w:val="2"/>
                <w:numId w:val="6"/>
              </w:numPr>
              <w:ind w:left="1065"/>
              <w:rPr>
                <w:rFonts w:ascii="Arial" w:eastAsia="Arial" w:hAnsi="Arial" w:cs="Arial"/>
                <w:sz w:val="20"/>
                <w:szCs w:val="20"/>
              </w:rPr>
            </w:pPr>
            <w:r>
              <w:rPr>
                <w:rFonts w:ascii="Arial" w:eastAsia="Arial" w:hAnsi="Arial" w:cs="Arial"/>
                <w:b w:val="0"/>
                <w:sz w:val="20"/>
                <w:szCs w:val="20"/>
              </w:rPr>
              <w:t>32% in 2018</w:t>
            </w:r>
          </w:p>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25% of adults reported their mental health was affected by the COVID-19 pandemic</w:t>
            </w:r>
          </w:p>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28% of adults looked for mental health services</w:t>
            </w:r>
          </w:p>
          <w:p w:rsidR="003E4C97" w:rsidRDefault="00097237">
            <w:pPr>
              <w:numPr>
                <w:ilvl w:val="1"/>
                <w:numId w:val="6"/>
              </w:numPr>
              <w:ind w:left="695"/>
              <w:rPr>
                <w:rFonts w:ascii="Arial" w:eastAsia="Arial" w:hAnsi="Arial" w:cs="Arial"/>
                <w:sz w:val="20"/>
                <w:szCs w:val="20"/>
              </w:rPr>
            </w:pPr>
            <w:r>
              <w:rPr>
                <w:rFonts w:ascii="Arial" w:eastAsia="Arial" w:hAnsi="Arial" w:cs="Arial"/>
                <w:b w:val="0"/>
                <w:sz w:val="20"/>
                <w:szCs w:val="20"/>
              </w:rPr>
              <w:t xml:space="preserve">10% </w:t>
            </w:r>
            <w:r>
              <w:rPr>
                <w:rFonts w:ascii="Arial" w:eastAsia="Arial" w:hAnsi="Arial" w:cs="Arial"/>
                <w:b w:val="0"/>
                <w:sz w:val="20"/>
                <w:szCs w:val="20"/>
              </w:rPr>
              <w:t>of them did not find a specific program; 5% found a program outside the county</w:t>
            </w:r>
          </w:p>
          <w:p w:rsidR="003E4C97" w:rsidRDefault="00097237">
            <w:pPr>
              <w:numPr>
                <w:ilvl w:val="1"/>
                <w:numId w:val="6"/>
              </w:numPr>
              <w:ind w:left="695"/>
              <w:rPr>
                <w:rFonts w:ascii="Arial" w:eastAsia="Arial" w:hAnsi="Arial" w:cs="Arial"/>
                <w:sz w:val="20"/>
                <w:szCs w:val="20"/>
              </w:rPr>
            </w:pPr>
            <w:r>
              <w:rPr>
                <w:rFonts w:ascii="Arial" w:eastAsia="Arial" w:hAnsi="Arial" w:cs="Arial"/>
                <w:b w:val="0"/>
                <w:sz w:val="20"/>
                <w:szCs w:val="20"/>
              </w:rPr>
              <w:t>22% of adults had used a program or service to help with depression, anxiety, or other emotional problems for themselves or a loved one (up from 11% in 2018)</w:t>
            </w:r>
          </w:p>
          <w:p w:rsidR="003E4C97" w:rsidRDefault="00097237">
            <w:pPr>
              <w:numPr>
                <w:ilvl w:val="1"/>
                <w:numId w:val="6"/>
              </w:numPr>
              <w:ind w:left="695"/>
              <w:rPr>
                <w:rFonts w:ascii="Arial" w:eastAsia="Arial" w:hAnsi="Arial" w:cs="Arial"/>
                <w:sz w:val="20"/>
                <w:szCs w:val="20"/>
              </w:rPr>
            </w:pPr>
            <w:r>
              <w:rPr>
                <w:rFonts w:ascii="Arial" w:eastAsia="Arial" w:hAnsi="Arial" w:cs="Arial"/>
                <w:b w:val="0"/>
                <w:sz w:val="20"/>
                <w:szCs w:val="20"/>
              </w:rPr>
              <w:t>Reasons for not usi</w:t>
            </w:r>
            <w:r>
              <w:rPr>
                <w:rFonts w:ascii="Arial" w:eastAsia="Arial" w:hAnsi="Arial" w:cs="Arial"/>
                <w:b w:val="0"/>
                <w:sz w:val="20"/>
                <w:szCs w:val="20"/>
              </w:rPr>
              <w:t>ng mental health services: Had not thought of it (11%), cost (10%), stigma (4%), long wait (3%), did not find a program (2%), fear (2%)</w:t>
            </w:r>
          </w:p>
          <w:p w:rsidR="003E4C97" w:rsidRDefault="00097237">
            <w:pPr>
              <w:numPr>
                <w:ilvl w:val="1"/>
                <w:numId w:val="6"/>
              </w:numPr>
              <w:ind w:left="695"/>
              <w:rPr>
                <w:rFonts w:ascii="Arial" w:eastAsia="Arial" w:hAnsi="Arial" w:cs="Arial"/>
                <w:sz w:val="20"/>
                <w:szCs w:val="20"/>
              </w:rPr>
            </w:pPr>
            <w:r>
              <w:rPr>
                <w:rFonts w:ascii="Arial" w:eastAsia="Arial" w:hAnsi="Arial" w:cs="Arial"/>
                <w:b w:val="0"/>
                <w:sz w:val="20"/>
                <w:szCs w:val="20"/>
              </w:rPr>
              <w:t>50% did not think they needed to seek care</w:t>
            </w:r>
          </w:p>
        </w:tc>
        <w:tc>
          <w:tcPr>
            <w:tcW w:w="990" w:type="dxa"/>
          </w:tcPr>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6</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49</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75</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6</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104</w:t>
            </w: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35-36</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75</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p.75</w:t>
            </w:r>
          </w:p>
        </w:tc>
      </w:tr>
      <w:tr w:rsidR="003E4C97" w:rsidTr="003E4C97">
        <w:tc>
          <w:tcPr>
            <w:cnfStyle w:val="001000000000" w:firstRow="0" w:lastRow="0" w:firstColumn="1" w:lastColumn="0" w:oddVBand="0" w:evenVBand="0" w:oddHBand="0" w:evenHBand="0" w:firstRowFirstColumn="0" w:firstRowLastColumn="0" w:lastRowFirstColumn="0" w:lastRowLastColumn="0"/>
            <w:tcW w:w="9355" w:type="dxa"/>
            <w:gridSpan w:val="2"/>
          </w:tcPr>
          <w:p w:rsidR="003E4C97" w:rsidRDefault="00097237">
            <w:pPr>
              <w:pBdr>
                <w:top w:val="nil"/>
                <w:left w:val="nil"/>
                <w:bottom w:val="nil"/>
                <w:right w:val="nil"/>
                <w:between w:val="nil"/>
              </w:pBdr>
              <w:rPr>
                <w:rFonts w:ascii="Arial" w:eastAsia="Arial" w:hAnsi="Arial" w:cs="Arial"/>
                <w:color w:val="000000"/>
                <w:sz w:val="24"/>
                <w:szCs w:val="24"/>
              </w:rPr>
            </w:pPr>
            <w:r>
              <w:rPr>
                <w:rFonts w:ascii="Arial" w:eastAsia="Arial" w:hAnsi="Arial" w:cs="Arial"/>
                <w:b w:val="0"/>
                <w:color w:val="000000"/>
                <w:sz w:val="20"/>
                <w:szCs w:val="20"/>
              </w:rPr>
              <w:t xml:space="preserve"> </w:t>
            </w:r>
            <w:r>
              <w:rPr>
                <w:rFonts w:ascii="Arial" w:eastAsia="Arial" w:hAnsi="Arial" w:cs="Arial"/>
                <w:color w:val="000000"/>
                <w:sz w:val="20"/>
                <w:szCs w:val="20"/>
              </w:rPr>
              <w:t>Additional Analysis </w:t>
            </w:r>
          </w:p>
          <w:p w:rsidR="003E4C97" w:rsidRDefault="00097237">
            <w:pPr>
              <w:numPr>
                <w:ilvl w:val="0"/>
                <w:numId w:val="1"/>
              </w:numPr>
              <w:ind w:left="360"/>
              <w:rPr>
                <w:rFonts w:ascii="Arial" w:eastAsia="Arial" w:hAnsi="Arial" w:cs="Arial"/>
                <w:color w:val="000000"/>
                <w:sz w:val="20"/>
                <w:szCs w:val="20"/>
              </w:rPr>
            </w:pPr>
            <w:r>
              <w:rPr>
                <w:rFonts w:ascii="Arial" w:eastAsia="Arial" w:hAnsi="Arial" w:cs="Arial"/>
                <w:b w:val="0"/>
                <w:color w:val="000000"/>
                <w:sz w:val="20"/>
                <w:szCs w:val="20"/>
              </w:rPr>
              <w:t>Of the people who found mental health programs or services outside the county (5% of respondents), 39% were from Perrysburg, 37% were from Bowling Green and 11% were from Walbridge</w:t>
            </w:r>
          </w:p>
          <w:p w:rsidR="003E4C97" w:rsidRDefault="00097237">
            <w:pPr>
              <w:numPr>
                <w:ilvl w:val="0"/>
                <w:numId w:val="1"/>
              </w:numPr>
              <w:ind w:left="360"/>
              <w:rPr>
                <w:rFonts w:ascii="Arial" w:eastAsia="Arial" w:hAnsi="Arial" w:cs="Arial"/>
                <w:color w:val="000000"/>
                <w:sz w:val="20"/>
                <w:szCs w:val="20"/>
              </w:rPr>
            </w:pPr>
            <w:r>
              <w:rPr>
                <w:rFonts w:ascii="Arial" w:eastAsia="Arial" w:hAnsi="Arial" w:cs="Arial"/>
                <w:b w:val="0"/>
                <w:color w:val="000000"/>
                <w:sz w:val="20"/>
                <w:szCs w:val="20"/>
              </w:rPr>
              <w:t>Of the people who said their mental health was not goo</w:t>
            </w:r>
            <w:r>
              <w:rPr>
                <w:rFonts w:ascii="Arial" w:eastAsia="Arial" w:hAnsi="Arial" w:cs="Arial"/>
                <w:b w:val="0"/>
                <w:color w:val="000000"/>
                <w:sz w:val="20"/>
                <w:szCs w:val="20"/>
              </w:rPr>
              <w:t>d for 8 or more days in the past 30 days, 33% said they did not think it was necessary to seek help</w:t>
            </w:r>
          </w:p>
        </w:tc>
      </w:tr>
      <w:tr w:rsidR="003E4C97" w:rsidTr="003E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tcPr>
          <w:p w:rsidR="003E4C97" w:rsidRDefault="00097237">
            <w:pPr>
              <w:rPr>
                <w:rFonts w:ascii="Arial" w:eastAsia="Arial" w:hAnsi="Arial" w:cs="Arial"/>
                <w:sz w:val="20"/>
                <w:szCs w:val="20"/>
              </w:rPr>
            </w:pPr>
            <w:r>
              <w:rPr>
                <w:rFonts w:ascii="Arial" w:eastAsia="Arial" w:hAnsi="Arial" w:cs="Arial"/>
                <w:sz w:val="20"/>
                <w:szCs w:val="20"/>
              </w:rPr>
              <w:t>Implications</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b w:val="0"/>
                <w:color w:val="000000"/>
                <w:sz w:val="20"/>
                <w:szCs w:val="20"/>
              </w:rPr>
              <w:t>Mental health challenges emerged as a significant issue for adults. While mental health/addiction was a priority in the 2019-2021 CHIP, severa</w:t>
            </w:r>
            <w:r>
              <w:rPr>
                <w:rFonts w:ascii="Arial" w:eastAsia="Arial" w:hAnsi="Arial" w:cs="Arial"/>
                <w:b w:val="0"/>
                <w:color w:val="000000"/>
                <w:sz w:val="20"/>
                <w:szCs w:val="20"/>
              </w:rPr>
              <w:t xml:space="preserve">l mental health factors were rated worse than </w:t>
            </w:r>
            <w:r>
              <w:rPr>
                <w:rFonts w:ascii="Arial" w:eastAsia="Arial" w:hAnsi="Arial" w:cs="Arial"/>
                <w:b w:val="0"/>
                <w:color w:val="000000"/>
                <w:sz w:val="20"/>
                <w:szCs w:val="20"/>
              </w:rPr>
              <w:t>2018</w:t>
            </w:r>
            <w:r>
              <w:rPr>
                <w:rFonts w:ascii="Arial" w:eastAsia="Arial" w:hAnsi="Arial" w:cs="Arial"/>
                <w:b w:val="0"/>
                <w:color w:val="000000"/>
                <w:sz w:val="20"/>
                <w:szCs w:val="20"/>
              </w:rPr>
              <w:t> </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b w:val="0"/>
                <w:color w:val="000000"/>
                <w:sz w:val="20"/>
                <w:szCs w:val="20"/>
              </w:rPr>
              <w:t xml:space="preserve">Access to </w:t>
            </w:r>
            <w:r>
              <w:rPr>
                <w:rFonts w:ascii="Arial" w:eastAsia="Arial" w:hAnsi="Arial" w:cs="Arial"/>
                <w:b w:val="0"/>
                <w:sz w:val="20"/>
                <w:szCs w:val="20"/>
              </w:rPr>
              <w:t>mental health services is an issue</w:t>
            </w:r>
            <w:r>
              <w:rPr>
                <w:rFonts w:ascii="Arial" w:eastAsia="Arial" w:hAnsi="Arial" w:cs="Arial"/>
                <w:b w:val="0"/>
                <w:color w:val="000000"/>
                <w:sz w:val="20"/>
                <w:szCs w:val="20"/>
              </w:rPr>
              <w:t>, as indicated by the percentage who did not find programs that suited their needs (10%) and those who went outside the county for care (5%).</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b w:val="0"/>
                <w:color w:val="000000"/>
                <w:sz w:val="20"/>
                <w:szCs w:val="20"/>
              </w:rPr>
              <w:t>Awaren</w:t>
            </w:r>
            <w:r>
              <w:rPr>
                <w:rFonts w:ascii="Arial" w:eastAsia="Arial" w:hAnsi="Arial" w:cs="Arial"/>
                <w:b w:val="0"/>
                <w:color w:val="000000"/>
                <w:sz w:val="20"/>
                <w:szCs w:val="20"/>
              </w:rPr>
              <w:t>ess of the need for care may be an issue, as indicated by the percent of people who said their mental health was not good for 8 or more days and did not think they needed to seek care.</w:t>
            </w:r>
          </w:p>
        </w:tc>
      </w:tr>
      <w:tr w:rsidR="003E4C97" w:rsidTr="003E4C97">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C9DAF8"/>
          </w:tcPr>
          <w:p w:rsidR="003E4C97" w:rsidRDefault="00097237">
            <w:pPr>
              <w:jc w:val="center"/>
              <w:rPr>
                <w:rFonts w:ascii="Arial" w:eastAsia="Arial" w:hAnsi="Arial" w:cs="Arial"/>
                <w:sz w:val="20"/>
                <w:szCs w:val="20"/>
              </w:rPr>
            </w:pPr>
            <w:r>
              <w:rPr>
                <w:rFonts w:ascii="Arial" w:eastAsia="Arial" w:hAnsi="Arial" w:cs="Arial"/>
              </w:rPr>
              <w:t>Weight Status</w:t>
            </w:r>
          </w:p>
        </w:tc>
      </w:tr>
      <w:tr w:rsidR="003E4C97" w:rsidTr="003E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Pr>
          <w:p w:rsidR="003E4C97" w:rsidRDefault="00097237">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b w:val="0"/>
                <w:color w:val="000000"/>
                <w:sz w:val="20"/>
                <w:szCs w:val="20"/>
              </w:rPr>
              <w:t>69% of adults were overweight or obese</w:t>
            </w:r>
          </w:p>
          <w:p w:rsidR="003E4C97" w:rsidRDefault="00097237">
            <w:pPr>
              <w:numPr>
                <w:ilvl w:val="1"/>
                <w:numId w:val="13"/>
              </w:numPr>
              <w:pBdr>
                <w:top w:val="nil"/>
                <w:left w:val="nil"/>
                <w:bottom w:val="nil"/>
                <w:right w:val="nil"/>
                <w:between w:val="nil"/>
              </w:pBdr>
              <w:ind w:left="695"/>
              <w:rPr>
                <w:rFonts w:ascii="Arial" w:eastAsia="Arial" w:hAnsi="Arial" w:cs="Arial"/>
                <w:color w:val="000000"/>
                <w:sz w:val="20"/>
                <w:szCs w:val="20"/>
              </w:rPr>
            </w:pPr>
            <w:r>
              <w:rPr>
                <w:rFonts w:ascii="Arial" w:eastAsia="Arial" w:hAnsi="Arial" w:cs="Arial"/>
                <w:b w:val="0"/>
                <w:color w:val="000000"/>
                <w:sz w:val="20"/>
                <w:szCs w:val="20"/>
              </w:rPr>
              <w:t>76% of adults with arthritis and 88% with diabetes are overweight or obese</w:t>
            </w:r>
          </w:p>
          <w:p w:rsidR="003E4C97" w:rsidRDefault="00097237">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b w:val="0"/>
                <w:color w:val="000000"/>
                <w:sz w:val="20"/>
                <w:szCs w:val="20"/>
              </w:rPr>
              <w:t>23% of adults did not participate in any physical activity in the past week</w:t>
            </w:r>
          </w:p>
          <w:p w:rsidR="003E4C97" w:rsidRDefault="00097237">
            <w:pPr>
              <w:numPr>
                <w:ilvl w:val="1"/>
                <w:numId w:val="13"/>
              </w:numPr>
              <w:pBdr>
                <w:top w:val="nil"/>
                <w:left w:val="nil"/>
                <w:bottom w:val="nil"/>
                <w:right w:val="nil"/>
                <w:between w:val="nil"/>
              </w:pBdr>
              <w:ind w:left="695"/>
              <w:rPr>
                <w:rFonts w:ascii="Arial" w:eastAsia="Arial" w:hAnsi="Arial" w:cs="Arial"/>
                <w:color w:val="000000"/>
                <w:sz w:val="20"/>
                <w:szCs w:val="20"/>
              </w:rPr>
            </w:pPr>
            <w:r>
              <w:rPr>
                <w:rFonts w:ascii="Arial" w:eastAsia="Arial" w:hAnsi="Arial" w:cs="Arial"/>
                <w:b w:val="0"/>
                <w:color w:val="000000"/>
                <w:sz w:val="20"/>
                <w:szCs w:val="20"/>
              </w:rPr>
              <w:t>6% of those adults were unable to exercise</w:t>
            </w:r>
          </w:p>
          <w:p w:rsidR="003E4C97" w:rsidRDefault="00097237">
            <w:pPr>
              <w:numPr>
                <w:ilvl w:val="1"/>
                <w:numId w:val="13"/>
              </w:numPr>
              <w:pBdr>
                <w:top w:val="nil"/>
                <w:left w:val="nil"/>
                <w:bottom w:val="nil"/>
                <w:right w:val="nil"/>
                <w:between w:val="nil"/>
              </w:pBdr>
              <w:ind w:left="695"/>
              <w:rPr>
                <w:rFonts w:ascii="Arial" w:eastAsia="Arial" w:hAnsi="Arial" w:cs="Arial"/>
                <w:color w:val="000000"/>
                <w:sz w:val="20"/>
                <w:szCs w:val="20"/>
              </w:rPr>
            </w:pPr>
            <w:r>
              <w:rPr>
                <w:rFonts w:ascii="Arial" w:eastAsia="Arial" w:hAnsi="Arial" w:cs="Arial"/>
                <w:b w:val="0"/>
                <w:color w:val="000000"/>
                <w:sz w:val="20"/>
                <w:szCs w:val="20"/>
              </w:rPr>
              <w:t>Reasons for not exercising include time (29%), laziness (23%), weather (21%), too tired (20%), pain or discomfort (17%), did not like to exercise (17%)</w:t>
            </w:r>
          </w:p>
          <w:p w:rsidR="003E4C97" w:rsidRDefault="00097237">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b w:val="0"/>
                <w:color w:val="000000"/>
                <w:sz w:val="20"/>
                <w:szCs w:val="20"/>
              </w:rPr>
              <w:t>76% of adults ate less than the recommended 5+ servings of fruit/vegetables per day</w:t>
            </w:r>
          </w:p>
          <w:p w:rsidR="003E4C97" w:rsidRDefault="00097237">
            <w:pPr>
              <w:numPr>
                <w:ilvl w:val="0"/>
                <w:numId w:val="13"/>
              </w:numPr>
              <w:pBdr>
                <w:top w:val="nil"/>
                <w:left w:val="nil"/>
                <w:bottom w:val="nil"/>
                <w:right w:val="nil"/>
                <w:between w:val="nil"/>
              </w:pBdr>
              <w:rPr>
                <w:rFonts w:ascii="Arial" w:eastAsia="Arial" w:hAnsi="Arial" w:cs="Arial"/>
                <w:color w:val="000000"/>
                <w:sz w:val="20"/>
                <w:szCs w:val="20"/>
              </w:rPr>
            </w:pPr>
            <w:r>
              <w:rPr>
                <w:rFonts w:ascii="Arial" w:eastAsia="Arial" w:hAnsi="Arial" w:cs="Arial"/>
                <w:b w:val="0"/>
                <w:color w:val="000000"/>
                <w:sz w:val="20"/>
                <w:szCs w:val="20"/>
              </w:rPr>
              <w:t>Reasons chosen for the types of foods eaten include:</w:t>
            </w:r>
          </w:p>
          <w:p w:rsidR="003E4C97" w:rsidRDefault="00097237">
            <w:pPr>
              <w:numPr>
                <w:ilvl w:val="1"/>
                <w:numId w:val="13"/>
              </w:numPr>
              <w:pBdr>
                <w:top w:val="nil"/>
                <w:left w:val="nil"/>
                <w:bottom w:val="nil"/>
                <w:right w:val="nil"/>
                <w:between w:val="nil"/>
              </w:pBdr>
              <w:ind w:left="695"/>
              <w:rPr>
                <w:rFonts w:ascii="Arial" w:eastAsia="Arial" w:hAnsi="Arial" w:cs="Arial"/>
                <w:color w:val="000000"/>
                <w:sz w:val="20"/>
                <w:szCs w:val="20"/>
              </w:rPr>
            </w:pPr>
            <w:r>
              <w:rPr>
                <w:rFonts w:ascii="Arial" w:eastAsia="Arial" w:hAnsi="Arial" w:cs="Arial"/>
                <w:b w:val="0"/>
                <w:color w:val="000000"/>
                <w:sz w:val="20"/>
                <w:szCs w:val="20"/>
              </w:rPr>
              <w:t>Taste/enjoyment (73%), easy to prepare (60), healthy (54%), cost (46%), food they were used to (46%), what their family prefers (45%), nutritional content (33%), availability (31%)</w:t>
            </w:r>
            <w:r>
              <w:rPr>
                <w:rFonts w:ascii="Arial" w:eastAsia="Arial" w:hAnsi="Arial" w:cs="Arial"/>
                <w:sz w:val="20"/>
                <w:szCs w:val="20"/>
              </w:rPr>
              <w:t xml:space="preserve"> </w:t>
            </w:r>
          </w:p>
        </w:tc>
        <w:tc>
          <w:tcPr>
            <w:tcW w:w="990" w:type="dxa"/>
          </w:tcPr>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51</w:t>
            </w: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88, 91</w:t>
            </w: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51</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52</w:t>
            </w: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52</w:t>
            </w:r>
          </w:p>
        </w:tc>
      </w:tr>
      <w:tr w:rsidR="003E4C97" w:rsidTr="003E4C97">
        <w:tc>
          <w:tcPr>
            <w:cnfStyle w:val="001000000000" w:firstRow="0" w:lastRow="0" w:firstColumn="1" w:lastColumn="0" w:oddVBand="0" w:evenVBand="0" w:oddHBand="0" w:evenHBand="0" w:firstRowFirstColumn="0" w:firstRowLastColumn="0" w:lastRowFirstColumn="0" w:lastRowLastColumn="0"/>
            <w:tcW w:w="9355" w:type="dxa"/>
            <w:gridSpan w:val="2"/>
          </w:tcPr>
          <w:p w:rsidR="003E4C97" w:rsidRDefault="00097237">
            <w:pPr>
              <w:rPr>
                <w:rFonts w:ascii="Arial" w:eastAsia="Arial" w:hAnsi="Arial" w:cs="Arial"/>
                <w:sz w:val="20"/>
                <w:szCs w:val="20"/>
              </w:rPr>
            </w:pPr>
            <w:r>
              <w:rPr>
                <w:rFonts w:ascii="Arial" w:eastAsia="Arial" w:hAnsi="Arial" w:cs="Arial"/>
                <w:sz w:val="20"/>
                <w:szCs w:val="20"/>
              </w:rPr>
              <w:t>Additional Analysis</w:t>
            </w:r>
          </w:p>
          <w:p w:rsidR="003E4C97" w:rsidRDefault="00097237">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81% </w:t>
            </w:r>
            <w:r>
              <w:rPr>
                <w:rFonts w:ascii="Arial" w:eastAsia="Arial" w:hAnsi="Arial" w:cs="Arial"/>
                <w:b w:val="0"/>
                <w:sz w:val="20"/>
                <w:szCs w:val="20"/>
              </w:rPr>
              <w:t>reported that they had</w:t>
            </w:r>
            <w:r>
              <w:rPr>
                <w:rFonts w:ascii="Arial" w:eastAsia="Arial" w:hAnsi="Arial" w:cs="Arial"/>
                <w:sz w:val="20"/>
                <w:szCs w:val="20"/>
              </w:rPr>
              <w:t xml:space="preserve"> no barriers to consuming </w:t>
            </w:r>
            <w:r>
              <w:rPr>
                <w:rFonts w:ascii="Arial" w:eastAsia="Arial" w:hAnsi="Arial" w:cs="Arial"/>
                <w:b w:val="0"/>
                <w:sz w:val="20"/>
                <w:szCs w:val="20"/>
              </w:rPr>
              <w:t>fruits and vegetables</w:t>
            </w:r>
          </w:p>
          <w:p w:rsidR="003E4C97" w:rsidRDefault="00097237">
            <w:pPr>
              <w:numPr>
                <w:ilvl w:val="1"/>
                <w:numId w:val="3"/>
              </w:numPr>
              <w:pBdr>
                <w:top w:val="nil"/>
                <w:left w:val="nil"/>
                <w:bottom w:val="nil"/>
                <w:right w:val="nil"/>
                <w:between w:val="nil"/>
              </w:pBdr>
              <w:ind w:left="695"/>
              <w:rPr>
                <w:rFonts w:ascii="Arial" w:eastAsia="Arial" w:hAnsi="Arial" w:cs="Arial"/>
                <w:color w:val="000000"/>
                <w:sz w:val="20"/>
                <w:szCs w:val="20"/>
              </w:rPr>
            </w:pPr>
            <w:r>
              <w:rPr>
                <w:rFonts w:ascii="Arial" w:eastAsia="Arial" w:hAnsi="Arial" w:cs="Arial"/>
                <w:b w:val="0"/>
                <w:sz w:val="20"/>
                <w:szCs w:val="20"/>
              </w:rPr>
              <w:t>Of those who had barriers, 11% said they were too expensive, 8% said taste was an issue and 6% said preparation was an issue</w:t>
            </w:r>
          </w:p>
          <w:p w:rsidR="003E4C97" w:rsidRDefault="00097237">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Less than 1% </w:t>
            </w:r>
            <w:r>
              <w:rPr>
                <w:rFonts w:ascii="Arial" w:eastAsia="Arial" w:hAnsi="Arial" w:cs="Arial"/>
                <w:b w:val="0"/>
                <w:sz w:val="20"/>
                <w:szCs w:val="20"/>
              </w:rPr>
              <w:t>of respondents said they had</w:t>
            </w:r>
            <w:r>
              <w:rPr>
                <w:rFonts w:ascii="Arial" w:eastAsia="Arial" w:hAnsi="Arial" w:cs="Arial"/>
                <w:sz w:val="20"/>
                <w:szCs w:val="20"/>
              </w:rPr>
              <w:t xml:space="preserve"> no access </w:t>
            </w:r>
            <w:r>
              <w:rPr>
                <w:rFonts w:ascii="Arial" w:eastAsia="Arial" w:hAnsi="Arial" w:cs="Arial"/>
                <w:b w:val="0"/>
                <w:sz w:val="20"/>
                <w:szCs w:val="20"/>
              </w:rPr>
              <w:t>to fruits and vegetables</w:t>
            </w:r>
          </w:p>
        </w:tc>
      </w:tr>
      <w:tr w:rsidR="003E4C97" w:rsidTr="003E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tcPr>
          <w:p w:rsidR="003E4C97" w:rsidRDefault="00097237">
            <w:pPr>
              <w:rPr>
                <w:rFonts w:ascii="Arial" w:eastAsia="Arial" w:hAnsi="Arial" w:cs="Arial"/>
                <w:sz w:val="20"/>
                <w:szCs w:val="20"/>
              </w:rPr>
            </w:pPr>
            <w:r>
              <w:rPr>
                <w:rFonts w:ascii="Arial" w:eastAsia="Arial" w:hAnsi="Arial" w:cs="Arial"/>
                <w:sz w:val="20"/>
                <w:szCs w:val="20"/>
              </w:rPr>
              <w:lastRenderedPageBreak/>
              <w:t>Implications</w:t>
            </w:r>
          </w:p>
          <w:p w:rsidR="003E4C97" w:rsidRDefault="00097237">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Rates of obesity and overweight are slightly better than the 2018 CHA and consistent with rates in Ohio and the U.S. overall</w:t>
            </w:r>
            <w:r>
              <w:rPr>
                <w:rFonts w:ascii="Arial" w:eastAsia="Arial" w:hAnsi="Arial" w:cs="Arial"/>
                <w:b w:val="0"/>
                <w:sz w:val="20"/>
                <w:szCs w:val="20"/>
              </w:rPr>
              <w:t>.  Nevertheless, ob</w:t>
            </w:r>
            <w:r>
              <w:rPr>
                <w:rFonts w:ascii="Arial" w:eastAsia="Arial" w:hAnsi="Arial" w:cs="Arial"/>
                <w:b w:val="0"/>
                <w:color w:val="000000"/>
                <w:sz w:val="20"/>
                <w:szCs w:val="20"/>
              </w:rPr>
              <w:t xml:space="preserve">esity is associated with higher rates of comorbidities such as arthritis, diabetes, cardiovascular diseases and death. </w:t>
            </w:r>
          </w:p>
          <w:p w:rsidR="003E4C97" w:rsidRDefault="00097237">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 xml:space="preserve">Inadequate physical activity is a risk factor </w:t>
            </w:r>
            <w:r>
              <w:rPr>
                <w:rFonts w:ascii="Arial" w:eastAsia="Arial" w:hAnsi="Arial" w:cs="Arial"/>
                <w:b w:val="0"/>
                <w:sz w:val="20"/>
                <w:szCs w:val="20"/>
              </w:rPr>
              <w:t>for</w:t>
            </w:r>
            <w:r>
              <w:rPr>
                <w:rFonts w:ascii="Arial" w:eastAsia="Arial" w:hAnsi="Arial" w:cs="Arial"/>
                <w:b w:val="0"/>
                <w:color w:val="000000"/>
                <w:sz w:val="20"/>
                <w:szCs w:val="20"/>
              </w:rPr>
              <w:t xml:space="preserve"> obesity, as are unhealthy eating habits. </w:t>
            </w:r>
          </w:p>
          <w:p w:rsidR="003E4C97" w:rsidRDefault="00097237">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Personal choices and preferences weigh heavi</w:t>
            </w:r>
            <w:r>
              <w:rPr>
                <w:rFonts w:ascii="Arial" w:eastAsia="Arial" w:hAnsi="Arial" w:cs="Arial"/>
                <w:b w:val="0"/>
                <w:color w:val="000000"/>
                <w:sz w:val="20"/>
                <w:szCs w:val="20"/>
              </w:rPr>
              <w:t xml:space="preserve">ly in individual decisions about how much to exercise and </w:t>
            </w:r>
            <w:r>
              <w:rPr>
                <w:rFonts w:ascii="Arial" w:eastAsia="Arial" w:hAnsi="Arial" w:cs="Arial"/>
                <w:b w:val="0"/>
                <w:sz w:val="20"/>
                <w:szCs w:val="20"/>
              </w:rPr>
              <w:t>the</w:t>
            </w:r>
            <w:r>
              <w:rPr>
                <w:rFonts w:ascii="Arial" w:eastAsia="Arial" w:hAnsi="Arial" w:cs="Arial"/>
                <w:b w:val="0"/>
                <w:color w:val="000000"/>
                <w:sz w:val="20"/>
                <w:szCs w:val="20"/>
              </w:rPr>
              <w:t xml:space="preserve"> kinds of foods people eat.</w:t>
            </w:r>
          </w:p>
        </w:tc>
      </w:tr>
      <w:tr w:rsidR="003E4C97" w:rsidTr="003E4C97">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C9DAF8"/>
          </w:tcPr>
          <w:p w:rsidR="003E4C97" w:rsidRDefault="00097237">
            <w:pPr>
              <w:jc w:val="center"/>
              <w:rPr>
                <w:rFonts w:ascii="Arial" w:eastAsia="Arial" w:hAnsi="Arial" w:cs="Arial"/>
                <w:sz w:val="20"/>
                <w:szCs w:val="20"/>
              </w:rPr>
            </w:pPr>
            <w:r>
              <w:rPr>
                <w:rFonts w:ascii="Arial" w:eastAsia="Arial" w:hAnsi="Arial" w:cs="Arial"/>
              </w:rPr>
              <w:t>Alcohol, Tobacco and Drug Use</w:t>
            </w:r>
          </w:p>
        </w:tc>
      </w:tr>
      <w:tr w:rsidR="003E4C97" w:rsidTr="003E4C97">
        <w:trPr>
          <w:cnfStyle w:val="000000100000" w:firstRow="0" w:lastRow="0" w:firstColumn="0" w:lastColumn="0" w:oddVBand="0" w:evenVBand="0" w:oddHBand="1" w:evenHBand="0" w:firstRowFirstColumn="0" w:firstRowLastColumn="0" w:lastRowFirstColumn="0" w:lastRowLastColumn="0"/>
          <w:trHeight w:val="3355"/>
        </w:trPr>
        <w:tc>
          <w:tcPr>
            <w:cnfStyle w:val="001000000000" w:firstRow="0" w:lastRow="0" w:firstColumn="1" w:lastColumn="0" w:oddVBand="0" w:evenVBand="0" w:oddHBand="0" w:evenHBand="0" w:firstRowFirstColumn="0" w:firstRowLastColumn="0" w:lastRowFirstColumn="0" w:lastRowLastColumn="0"/>
            <w:tcW w:w="8365" w:type="dxa"/>
          </w:tcPr>
          <w:p w:rsidR="003E4C97" w:rsidRDefault="00097237">
            <w:pPr>
              <w:rPr>
                <w:rFonts w:ascii="Arial" w:eastAsia="Arial" w:hAnsi="Arial" w:cs="Arial"/>
                <w:sz w:val="20"/>
                <w:szCs w:val="20"/>
              </w:rPr>
            </w:pPr>
            <w:r>
              <w:rPr>
                <w:rFonts w:ascii="Arial" w:eastAsia="Arial" w:hAnsi="Arial" w:cs="Arial"/>
                <w:sz w:val="20"/>
                <w:szCs w:val="20"/>
              </w:rPr>
              <w:t>Alcohol Use</w:t>
            </w:r>
          </w:p>
          <w:p w:rsidR="003E4C97" w:rsidRDefault="00097237">
            <w:pPr>
              <w:numPr>
                <w:ilvl w:val="1"/>
                <w:numId w:val="15"/>
              </w:numPr>
              <w:ind w:left="695"/>
              <w:rPr>
                <w:rFonts w:ascii="Arial" w:eastAsia="Arial" w:hAnsi="Arial" w:cs="Arial"/>
                <w:sz w:val="20"/>
                <w:szCs w:val="20"/>
              </w:rPr>
            </w:pPr>
            <w:r>
              <w:rPr>
                <w:rFonts w:ascii="Arial" w:eastAsia="Arial" w:hAnsi="Arial" w:cs="Arial"/>
                <w:b w:val="0"/>
                <w:sz w:val="20"/>
                <w:szCs w:val="20"/>
              </w:rPr>
              <w:t>71% of adults in Wood County were current drinkers (Up from 68% in 2018)</w:t>
            </w:r>
          </w:p>
          <w:p w:rsidR="003E4C97" w:rsidRDefault="00097237">
            <w:pPr>
              <w:numPr>
                <w:ilvl w:val="1"/>
                <w:numId w:val="15"/>
              </w:numPr>
              <w:ind w:left="695"/>
              <w:rPr>
                <w:rFonts w:ascii="Arial" w:eastAsia="Arial" w:hAnsi="Arial" w:cs="Arial"/>
                <w:sz w:val="20"/>
                <w:szCs w:val="20"/>
              </w:rPr>
            </w:pPr>
            <w:r>
              <w:rPr>
                <w:rFonts w:ascii="Arial" w:eastAsia="Arial" w:hAnsi="Arial" w:cs="Arial"/>
                <w:b w:val="0"/>
                <w:sz w:val="20"/>
                <w:szCs w:val="20"/>
              </w:rPr>
              <w:t>Higher than 2019 Ohio (53%) and U.S. (54%) rates</w:t>
            </w:r>
          </w:p>
          <w:p w:rsidR="003E4C97" w:rsidRDefault="00097237">
            <w:pPr>
              <w:numPr>
                <w:ilvl w:val="0"/>
                <w:numId w:val="15"/>
              </w:numPr>
              <w:rPr>
                <w:rFonts w:ascii="Arial" w:eastAsia="Arial" w:hAnsi="Arial" w:cs="Arial"/>
                <w:sz w:val="20"/>
                <w:szCs w:val="20"/>
              </w:rPr>
            </w:pPr>
            <w:r>
              <w:rPr>
                <w:rFonts w:ascii="Arial" w:eastAsia="Arial" w:hAnsi="Arial" w:cs="Arial"/>
                <w:b w:val="0"/>
                <w:sz w:val="20"/>
                <w:szCs w:val="20"/>
              </w:rPr>
              <w:t>32% of adults were binge drinkers [consuming more than 4 (women) or 5 (men) alcoholic beverages on a single occasion in the past 30 days]</w:t>
            </w:r>
          </w:p>
          <w:p w:rsidR="003E4C97" w:rsidRDefault="00097237">
            <w:pPr>
              <w:rPr>
                <w:rFonts w:ascii="Arial" w:eastAsia="Arial" w:hAnsi="Arial" w:cs="Arial"/>
                <w:sz w:val="20"/>
                <w:szCs w:val="20"/>
              </w:rPr>
            </w:pPr>
            <w:r>
              <w:rPr>
                <w:rFonts w:ascii="Arial" w:eastAsia="Arial" w:hAnsi="Arial" w:cs="Arial"/>
                <w:sz w:val="20"/>
                <w:szCs w:val="20"/>
              </w:rPr>
              <w:t>Tobacco Use</w:t>
            </w:r>
          </w:p>
          <w:p w:rsidR="003E4C97" w:rsidRDefault="00097237">
            <w:pPr>
              <w:numPr>
                <w:ilvl w:val="0"/>
                <w:numId w:val="15"/>
              </w:numPr>
              <w:rPr>
                <w:rFonts w:ascii="Arial" w:eastAsia="Arial" w:hAnsi="Arial" w:cs="Arial"/>
                <w:sz w:val="20"/>
                <w:szCs w:val="20"/>
              </w:rPr>
            </w:pPr>
            <w:r>
              <w:rPr>
                <w:rFonts w:ascii="Arial" w:eastAsia="Arial" w:hAnsi="Arial" w:cs="Arial"/>
                <w:b w:val="0"/>
                <w:sz w:val="20"/>
                <w:szCs w:val="20"/>
              </w:rPr>
              <w:t>10% of Wood County adults smoke; 8% of adults used e-cigarettes in the past year</w:t>
            </w:r>
          </w:p>
          <w:p w:rsidR="003E4C97" w:rsidRDefault="00097237">
            <w:pPr>
              <w:numPr>
                <w:ilvl w:val="1"/>
                <w:numId w:val="15"/>
              </w:numPr>
              <w:ind w:left="695"/>
              <w:rPr>
                <w:rFonts w:ascii="Arial" w:eastAsia="Arial" w:hAnsi="Arial" w:cs="Arial"/>
                <w:sz w:val="20"/>
                <w:szCs w:val="20"/>
              </w:rPr>
            </w:pPr>
            <w:r>
              <w:rPr>
                <w:rFonts w:ascii="Arial" w:eastAsia="Arial" w:hAnsi="Arial" w:cs="Arial"/>
                <w:b w:val="0"/>
                <w:sz w:val="20"/>
                <w:szCs w:val="20"/>
              </w:rPr>
              <w:t xml:space="preserve">58% of smokers tried to quit in the past year; 21% are former smokers </w:t>
            </w:r>
          </w:p>
          <w:p w:rsidR="003E4C97" w:rsidRDefault="00097237">
            <w:pPr>
              <w:ind w:left="-25"/>
              <w:rPr>
                <w:rFonts w:ascii="Arial" w:eastAsia="Arial" w:hAnsi="Arial" w:cs="Arial"/>
                <w:sz w:val="20"/>
                <w:szCs w:val="20"/>
              </w:rPr>
            </w:pPr>
            <w:r>
              <w:rPr>
                <w:rFonts w:ascii="Arial" w:eastAsia="Arial" w:hAnsi="Arial" w:cs="Arial"/>
                <w:sz w:val="20"/>
                <w:szCs w:val="20"/>
              </w:rPr>
              <w:t>Recreational Drug Use</w:t>
            </w:r>
          </w:p>
          <w:p w:rsidR="003E4C97" w:rsidRDefault="00097237">
            <w:pPr>
              <w:numPr>
                <w:ilvl w:val="0"/>
                <w:numId w:val="17"/>
              </w:numPr>
              <w:ind w:left="335"/>
              <w:rPr>
                <w:rFonts w:ascii="Arial" w:eastAsia="Arial" w:hAnsi="Arial" w:cs="Arial"/>
                <w:sz w:val="20"/>
                <w:szCs w:val="20"/>
              </w:rPr>
            </w:pPr>
            <w:r>
              <w:rPr>
                <w:rFonts w:ascii="Arial" w:eastAsia="Arial" w:hAnsi="Arial" w:cs="Arial"/>
                <w:b w:val="0"/>
                <w:sz w:val="20"/>
                <w:szCs w:val="20"/>
              </w:rPr>
              <w:t>9% used recreational marijuana in the past 6 months (Up from 6% in 2018)</w:t>
            </w:r>
          </w:p>
          <w:p w:rsidR="003E4C97" w:rsidRDefault="00097237">
            <w:pPr>
              <w:numPr>
                <w:ilvl w:val="1"/>
                <w:numId w:val="17"/>
              </w:numPr>
              <w:ind w:left="695"/>
              <w:rPr>
                <w:rFonts w:ascii="Arial" w:eastAsia="Arial" w:hAnsi="Arial" w:cs="Arial"/>
                <w:sz w:val="20"/>
                <w:szCs w:val="20"/>
              </w:rPr>
            </w:pPr>
            <w:r>
              <w:rPr>
                <w:rFonts w:ascii="Arial" w:eastAsia="Arial" w:hAnsi="Arial" w:cs="Arial"/>
                <w:b w:val="0"/>
                <w:sz w:val="20"/>
                <w:szCs w:val="20"/>
              </w:rPr>
              <w:t>22% of people under 30 used recreational marijuana</w:t>
            </w:r>
          </w:p>
          <w:p w:rsidR="003E4C97" w:rsidRDefault="00097237">
            <w:pPr>
              <w:numPr>
                <w:ilvl w:val="0"/>
                <w:numId w:val="17"/>
              </w:numPr>
              <w:ind w:left="335"/>
              <w:rPr>
                <w:rFonts w:ascii="Arial" w:eastAsia="Arial" w:hAnsi="Arial" w:cs="Arial"/>
                <w:sz w:val="20"/>
                <w:szCs w:val="20"/>
              </w:rPr>
            </w:pPr>
            <w:r>
              <w:rPr>
                <w:rFonts w:ascii="Arial" w:eastAsia="Arial" w:hAnsi="Arial" w:cs="Arial"/>
                <w:b w:val="0"/>
                <w:sz w:val="20"/>
                <w:szCs w:val="20"/>
              </w:rPr>
              <w:t xml:space="preserve">5% of adults had used medication not prescribed for them or took more than prescribed to feel good, high, more active, and/or alert during the past 6 months </w:t>
            </w:r>
          </w:p>
          <w:p w:rsidR="003E4C97" w:rsidRDefault="00097237">
            <w:pPr>
              <w:numPr>
                <w:ilvl w:val="0"/>
                <w:numId w:val="17"/>
              </w:numPr>
              <w:ind w:left="335"/>
              <w:rPr>
                <w:rFonts w:ascii="Arial" w:eastAsia="Arial" w:hAnsi="Arial" w:cs="Arial"/>
                <w:sz w:val="20"/>
                <w:szCs w:val="20"/>
              </w:rPr>
            </w:pPr>
            <w:r>
              <w:rPr>
                <w:rFonts w:ascii="Arial" w:eastAsia="Arial" w:hAnsi="Arial" w:cs="Arial"/>
                <w:b w:val="0"/>
                <w:sz w:val="20"/>
                <w:szCs w:val="20"/>
              </w:rPr>
              <w:t>5% of adults had used other recreational drugs</w:t>
            </w:r>
          </w:p>
          <w:p w:rsidR="003E4C97" w:rsidRDefault="00097237">
            <w:pPr>
              <w:numPr>
                <w:ilvl w:val="0"/>
                <w:numId w:val="17"/>
              </w:numPr>
              <w:ind w:left="335"/>
              <w:rPr>
                <w:rFonts w:ascii="Arial" w:eastAsia="Arial" w:hAnsi="Arial" w:cs="Arial"/>
                <w:sz w:val="20"/>
                <w:szCs w:val="20"/>
              </w:rPr>
            </w:pPr>
            <w:r>
              <w:rPr>
                <w:rFonts w:ascii="Arial" w:eastAsia="Arial" w:hAnsi="Arial" w:cs="Arial"/>
                <w:b w:val="0"/>
                <w:sz w:val="20"/>
                <w:szCs w:val="20"/>
              </w:rPr>
              <w:t xml:space="preserve">48% of those who used recreational drugs used them </w:t>
            </w:r>
            <w:r>
              <w:rPr>
                <w:rFonts w:ascii="Arial" w:eastAsia="Arial" w:hAnsi="Arial" w:cs="Arial"/>
                <w:b w:val="0"/>
                <w:sz w:val="20"/>
                <w:szCs w:val="20"/>
              </w:rPr>
              <w:t>every day</w:t>
            </w:r>
          </w:p>
        </w:tc>
        <w:tc>
          <w:tcPr>
            <w:tcW w:w="990" w:type="dxa"/>
          </w:tcPr>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60</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60</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56</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64-65</w:t>
            </w: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rsidR="003E4C97" w:rsidRDefault="003E4C9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tc>
      </w:tr>
      <w:tr w:rsidR="003E4C97" w:rsidTr="003E4C97">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auto"/>
          </w:tcPr>
          <w:p w:rsidR="003E4C97" w:rsidRDefault="00097237">
            <w:pPr>
              <w:rPr>
                <w:rFonts w:ascii="Arial" w:eastAsia="Arial" w:hAnsi="Arial" w:cs="Arial"/>
                <w:sz w:val="20"/>
                <w:szCs w:val="20"/>
              </w:rPr>
            </w:pPr>
            <w:r>
              <w:rPr>
                <w:rFonts w:ascii="Arial" w:eastAsia="Arial" w:hAnsi="Arial" w:cs="Arial"/>
                <w:sz w:val="20"/>
                <w:szCs w:val="20"/>
              </w:rPr>
              <w:t>Implications</w:t>
            </w:r>
          </w:p>
          <w:p w:rsidR="003E4C97" w:rsidRDefault="00097237">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Alcohol use rates increased over 2018, and are substantially higher than Ohio and the U.S. overall. Alcohol use is associated with higher risk of chronic disease.</w:t>
            </w:r>
          </w:p>
          <w:p w:rsidR="003E4C97" w:rsidRDefault="00097237">
            <w:pPr>
              <w:numPr>
                <w:ilvl w:val="0"/>
                <w:numId w:val="8"/>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 xml:space="preserve">While tobacco use did not increase, tobacco is the biggest preventable cause of disease in the U.S. </w:t>
            </w:r>
          </w:p>
        </w:tc>
      </w:tr>
      <w:tr w:rsidR="003E4C97" w:rsidTr="003E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C9DAF8"/>
          </w:tcPr>
          <w:p w:rsidR="003E4C97" w:rsidRDefault="00097237">
            <w:pPr>
              <w:jc w:val="center"/>
              <w:rPr>
                <w:rFonts w:ascii="Arial" w:eastAsia="Arial" w:hAnsi="Arial" w:cs="Arial"/>
                <w:sz w:val="20"/>
                <w:szCs w:val="20"/>
              </w:rPr>
            </w:pPr>
            <w:r>
              <w:rPr>
                <w:rFonts w:ascii="Arial" w:eastAsia="Arial" w:hAnsi="Arial" w:cs="Arial"/>
              </w:rPr>
              <w:t>Health Behaviors</w:t>
            </w:r>
          </w:p>
        </w:tc>
      </w:tr>
      <w:tr w:rsidR="003E4C97" w:rsidTr="003E4C97">
        <w:trPr>
          <w:trHeight w:val="58"/>
        </w:trPr>
        <w:tc>
          <w:tcPr>
            <w:cnfStyle w:val="001000000000" w:firstRow="0" w:lastRow="0" w:firstColumn="1" w:lastColumn="0" w:oddVBand="0" w:evenVBand="0" w:oddHBand="0" w:evenHBand="0" w:firstRowFirstColumn="0" w:firstRowLastColumn="0" w:lastRowFirstColumn="0" w:lastRowLastColumn="0"/>
            <w:tcW w:w="8365" w:type="dxa"/>
          </w:tcPr>
          <w:p w:rsidR="003E4C97" w:rsidRDefault="00097237">
            <w:pPr>
              <w:numPr>
                <w:ilvl w:val="0"/>
                <w:numId w:val="12"/>
              </w:numPr>
              <w:ind w:left="335"/>
              <w:rPr>
                <w:rFonts w:ascii="Arial" w:eastAsia="Arial" w:hAnsi="Arial" w:cs="Arial"/>
                <w:sz w:val="20"/>
                <w:szCs w:val="20"/>
              </w:rPr>
            </w:pPr>
            <w:r>
              <w:rPr>
                <w:rFonts w:ascii="Arial" w:eastAsia="Arial" w:hAnsi="Arial" w:cs="Arial"/>
                <w:b w:val="0"/>
                <w:sz w:val="20"/>
                <w:szCs w:val="20"/>
              </w:rPr>
              <w:t>14% of adults had been forced to engage in sexual activity when they did not want to at some point in their lifetime</w:t>
            </w:r>
          </w:p>
          <w:p w:rsidR="003E4C97" w:rsidRDefault="00097237">
            <w:pPr>
              <w:numPr>
                <w:ilvl w:val="1"/>
                <w:numId w:val="12"/>
              </w:numPr>
              <w:ind w:left="695"/>
              <w:rPr>
                <w:rFonts w:ascii="Arial" w:eastAsia="Arial" w:hAnsi="Arial" w:cs="Arial"/>
                <w:sz w:val="20"/>
                <w:szCs w:val="20"/>
              </w:rPr>
            </w:pPr>
            <w:r>
              <w:rPr>
                <w:rFonts w:ascii="Arial" w:eastAsia="Arial" w:hAnsi="Arial" w:cs="Arial"/>
                <w:b w:val="0"/>
                <w:sz w:val="20"/>
                <w:szCs w:val="20"/>
              </w:rPr>
              <w:t>30% for people under age 30; 27% for people with income less than $25,000</w:t>
            </w:r>
          </w:p>
        </w:tc>
        <w:tc>
          <w:tcPr>
            <w:tcW w:w="990" w:type="dxa"/>
          </w:tcPr>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70-71</w:t>
            </w:r>
          </w:p>
        </w:tc>
      </w:tr>
      <w:tr w:rsidR="003E4C97" w:rsidTr="003E4C97">
        <w:trPr>
          <w:cnfStyle w:val="000000100000" w:firstRow="0" w:lastRow="0" w:firstColumn="0" w:lastColumn="0" w:oddVBand="0" w:evenVBand="0" w:oddHBand="1" w:evenHBand="0" w:firstRowFirstColumn="0" w:firstRowLastColumn="0" w:lastRowFirstColumn="0" w:lastRowLastColumn="0"/>
          <w:trHeight w:val="58"/>
        </w:trPr>
        <w:tc>
          <w:tcPr>
            <w:cnfStyle w:val="001000000000" w:firstRow="0" w:lastRow="0" w:firstColumn="1" w:lastColumn="0" w:oddVBand="0" w:evenVBand="0" w:oddHBand="0" w:evenHBand="0" w:firstRowFirstColumn="0" w:firstRowLastColumn="0" w:lastRowFirstColumn="0" w:lastRowLastColumn="0"/>
            <w:tcW w:w="9355" w:type="dxa"/>
            <w:gridSpan w:val="2"/>
          </w:tcPr>
          <w:p w:rsidR="003E4C97" w:rsidRDefault="00097237">
            <w:pPr>
              <w:rPr>
                <w:rFonts w:ascii="Arial" w:eastAsia="Arial" w:hAnsi="Arial" w:cs="Arial"/>
                <w:sz w:val="20"/>
                <w:szCs w:val="20"/>
              </w:rPr>
            </w:pPr>
            <w:r>
              <w:rPr>
                <w:rFonts w:ascii="Arial" w:eastAsia="Arial" w:hAnsi="Arial" w:cs="Arial"/>
                <w:sz w:val="20"/>
                <w:szCs w:val="20"/>
              </w:rPr>
              <w:t>Additional Analysis</w:t>
            </w:r>
          </w:p>
          <w:p w:rsidR="003E4C97" w:rsidRDefault="00097237">
            <w:pPr>
              <w:numPr>
                <w:ilvl w:val="0"/>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b w:val="0"/>
                <w:sz w:val="20"/>
                <w:szCs w:val="20"/>
              </w:rPr>
              <w:t xml:space="preserve">Two questions assessed participants experience with forced sexual activity. </w:t>
            </w:r>
          </w:p>
          <w:p w:rsidR="003E4C97" w:rsidRDefault="00097237">
            <w:pPr>
              <w:numPr>
                <w:ilvl w:val="1"/>
                <w:numId w:val="11"/>
              </w:numPr>
              <w:rPr>
                <w:rFonts w:ascii="Arial" w:eastAsia="Arial" w:hAnsi="Arial" w:cs="Arial"/>
                <w:sz w:val="20"/>
                <w:szCs w:val="20"/>
              </w:rPr>
            </w:pPr>
            <w:r>
              <w:rPr>
                <w:rFonts w:ascii="Arial" w:eastAsia="Arial" w:hAnsi="Arial" w:cs="Arial"/>
                <w:b w:val="0"/>
                <w:sz w:val="20"/>
                <w:szCs w:val="20"/>
              </w:rPr>
              <w:t>All individuals who reported they had been forced to have sex were female.</w:t>
            </w:r>
          </w:p>
          <w:p w:rsidR="003E4C97" w:rsidRDefault="00097237">
            <w:pPr>
              <w:numPr>
                <w:ilvl w:val="1"/>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b w:val="0"/>
                <w:sz w:val="20"/>
                <w:szCs w:val="20"/>
              </w:rPr>
              <w:t>85% of people who reported they had been forced to engage in other sexual activity were female.</w:t>
            </w:r>
          </w:p>
        </w:tc>
      </w:tr>
      <w:tr w:rsidR="003E4C97" w:rsidTr="003E4C97">
        <w:trPr>
          <w:trHeight w:val="58"/>
        </w:trPr>
        <w:tc>
          <w:tcPr>
            <w:cnfStyle w:val="001000000000" w:firstRow="0" w:lastRow="0" w:firstColumn="1" w:lastColumn="0" w:oddVBand="0" w:evenVBand="0" w:oddHBand="0" w:evenHBand="0" w:firstRowFirstColumn="0" w:firstRowLastColumn="0" w:lastRowFirstColumn="0" w:lastRowLastColumn="0"/>
            <w:tcW w:w="9355" w:type="dxa"/>
            <w:gridSpan w:val="2"/>
          </w:tcPr>
          <w:p w:rsidR="003E4C97" w:rsidRDefault="00097237">
            <w:pPr>
              <w:rPr>
                <w:rFonts w:ascii="Arial" w:eastAsia="Arial" w:hAnsi="Arial" w:cs="Arial"/>
                <w:sz w:val="20"/>
                <w:szCs w:val="20"/>
              </w:rPr>
            </w:pPr>
            <w:r>
              <w:rPr>
                <w:rFonts w:ascii="Arial" w:eastAsia="Arial" w:hAnsi="Arial" w:cs="Arial"/>
                <w:sz w:val="20"/>
                <w:szCs w:val="20"/>
              </w:rPr>
              <w:t>Implications</w:t>
            </w:r>
          </w:p>
          <w:p w:rsidR="003E4C97" w:rsidRDefault="00097237">
            <w:pPr>
              <w:numPr>
                <w:ilvl w:val="0"/>
                <w:numId w:val="12"/>
              </w:numPr>
              <w:ind w:left="335"/>
              <w:rPr>
                <w:rFonts w:ascii="Arial" w:eastAsia="Arial" w:hAnsi="Arial" w:cs="Arial"/>
                <w:sz w:val="20"/>
                <w:szCs w:val="20"/>
              </w:rPr>
            </w:pPr>
            <w:r>
              <w:rPr>
                <w:rFonts w:ascii="Arial" w:eastAsia="Arial" w:hAnsi="Arial" w:cs="Arial"/>
                <w:b w:val="0"/>
                <w:sz w:val="20"/>
                <w:szCs w:val="20"/>
              </w:rPr>
              <w:t>Sexual violence can negatively impact health in many ways.  People who have experienced it are more likely to exhibit other unhealthy behaviors, including smoking tobacco, drug, and alcohol abuse, and engaging in risky sexual activity.</w:t>
            </w:r>
          </w:p>
        </w:tc>
      </w:tr>
      <w:tr w:rsidR="003E4C97" w:rsidTr="003E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C9DAF8"/>
          </w:tcPr>
          <w:p w:rsidR="003E4C97" w:rsidRDefault="00097237">
            <w:pPr>
              <w:jc w:val="center"/>
              <w:rPr>
                <w:rFonts w:ascii="Arial" w:eastAsia="Arial" w:hAnsi="Arial" w:cs="Arial"/>
              </w:rPr>
            </w:pPr>
            <w:r>
              <w:rPr>
                <w:rFonts w:ascii="Arial" w:eastAsia="Arial" w:hAnsi="Arial" w:cs="Arial"/>
              </w:rPr>
              <w:t xml:space="preserve">Health Care Access and Utilization </w:t>
            </w:r>
          </w:p>
        </w:tc>
      </w:tr>
      <w:tr w:rsidR="003E4C97" w:rsidTr="003E4C97">
        <w:tc>
          <w:tcPr>
            <w:cnfStyle w:val="001000000000" w:firstRow="0" w:lastRow="0" w:firstColumn="1" w:lastColumn="0" w:oddVBand="0" w:evenVBand="0" w:oddHBand="0" w:evenHBand="0" w:firstRowFirstColumn="0" w:firstRowLastColumn="0" w:lastRowFirstColumn="0" w:lastRowLastColumn="0"/>
            <w:tcW w:w="8365" w:type="dxa"/>
          </w:tcPr>
          <w:p w:rsidR="003E4C97" w:rsidRDefault="00097237">
            <w:pPr>
              <w:numPr>
                <w:ilvl w:val="0"/>
                <w:numId w:val="12"/>
              </w:numPr>
              <w:ind w:left="335"/>
              <w:rPr>
                <w:rFonts w:ascii="Arial" w:eastAsia="Arial" w:hAnsi="Arial" w:cs="Arial"/>
                <w:sz w:val="20"/>
                <w:szCs w:val="20"/>
              </w:rPr>
            </w:pPr>
            <w:r>
              <w:rPr>
                <w:rFonts w:ascii="Arial" w:eastAsia="Arial" w:hAnsi="Arial" w:cs="Arial"/>
                <w:b w:val="0"/>
                <w:sz w:val="20"/>
                <w:szCs w:val="20"/>
              </w:rPr>
              <w:t>7% of adults were without health care coverage; 10% of males were without coverage</w:t>
            </w:r>
          </w:p>
        </w:tc>
        <w:tc>
          <w:tcPr>
            <w:tcW w:w="990" w:type="dxa"/>
          </w:tcPr>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75</w:t>
            </w:r>
          </w:p>
        </w:tc>
      </w:tr>
      <w:tr w:rsidR="003E4C97" w:rsidTr="003E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tcPr>
          <w:p w:rsidR="003E4C97" w:rsidRDefault="00097237">
            <w:pPr>
              <w:rPr>
                <w:rFonts w:ascii="Arial" w:eastAsia="Arial" w:hAnsi="Arial" w:cs="Arial"/>
                <w:sz w:val="20"/>
                <w:szCs w:val="20"/>
              </w:rPr>
            </w:pPr>
            <w:r>
              <w:rPr>
                <w:rFonts w:ascii="Arial" w:eastAsia="Arial" w:hAnsi="Arial" w:cs="Arial"/>
                <w:sz w:val="20"/>
                <w:szCs w:val="20"/>
              </w:rPr>
              <w:t>Implications</w:t>
            </w:r>
          </w:p>
          <w:p w:rsidR="003E4C97" w:rsidRDefault="00097237">
            <w:pPr>
              <w:numPr>
                <w:ilvl w:val="0"/>
                <w:numId w:val="12"/>
              </w:numPr>
              <w:ind w:left="335"/>
              <w:rPr>
                <w:rFonts w:ascii="Arial" w:eastAsia="Arial" w:hAnsi="Arial" w:cs="Arial"/>
                <w:sz w:val="20"/>
                <w:szCs w:val="20"/>
              </w:rPr>
            </w:pPr>
            <w:r>
              <w:rPr>
                <w:rFonts w:ascii="Arial" w:eastAsia="Arial" w:hAnsi="Arial" w:cs="Arial"/>
                <w:b w:val="0"/>
                <w:sz w:val="20"/>
                <w:szCs w:val="20"/>
              </w:rPr>
              <w:t>People without insurance are less likely to have a primary care provider, and they may not be able to afford the health care services and medications they need.</w:t>
            </w:r>
          </w:p>
        </w:tc>
      </w:tr>
    </w:tbl>
    <w:tbl>
      <w:tblPr>
        <w:tblStyle w:val="a6"/>
        <w:tblW w:w="9355"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100"/>
        <w:gridCol w:w="1255"/>
      </w:tblGrid>
      <w:tr w:rsidR="003E4C97">
        <w:tc>
          <w:tcPr>
            <w:tcW w:w="9355" w:type="dxa"/>
            <w:gridSpan w:val="2"/>
            <w:shd w:val="clear" w:color="auto" w:fill="C9DAF8"/>
          </w:tcPr>
          <w:p w:rsidR="003E4C97" w:rsidRDefault="00097237">
            <w:pPr>
              <w:jc w:val="center"/>
              <w:rPr>
                <w:rFonts w:ascii="Arial" w:eastAsia="Arial" w:hAnsi="Arial" w:cs="Arial"/>
                <w:b/>
                <w:sz w:val="20"/>
                <w:szCs w:val="20"/>
              </w:rPr>
            </w:pPr>
            <w:r>
              <w:rPr>
                <w:rFonts w:ascii="Arial" w:eastAsia="Arial" w:hAnsi="Arial" w:cs="Arial"/>
                <w:b/>
              </w:rPr>
              <w:t>Adverse Childhood Experiences (ACEs)</w:t>
            </w:r>
          </w:p>
        </w:tc>
      </w:tr>
      <w:tr w:rsidR="003E4C97">
        <w:tc>
          <w:tcPr>
            <w:tcW w:w="8100" w:type="dxa"/>
          </w:tcPr>
          <w:p w:rsidR="003E4C97" w:rsidRDefault="00097237">
            <w:pPr>
              <w:numPr>
                <w:ilvl w:val="0"/>
                <w:numId w:val="12"/>
              </w:numPr>
              <w:ind w:left="335"/>
              <w:rPr>
                <w:rFonts w:ascii="Arial" w:eastAsia="Arial" w:hAnsi="Arial" w:cs="Arial"/>
                <w:sz w:val="20"/>
                <w:szCs w:val="20"/>
              </w:rPr>
            </w:pPr>
            <w:r>
              <w:rPr>
                <w:rFonts w:ascii="Arial" w:eastAsia="Arial" w:hAnsi="Arial" w:cs="Arial"/>
                <w:sz w:val="20"/>
                <w:szCs w:val="20"/>
              </w:rPr>
              <w:t>19% of adults experienced 4 or more ACEs; 33% of adults under the age of 30.</w:t>
            </w:r>
          </w:p>
          <w:p w:rsidR="00BA219A" w:rsidRDefault="00BA219A" w:rsidP="00BA219A">
            <w:pPr>
              <w:ind w:left="335"/>
              <w:rPr>
                <w:rFonts w:ascii="Arial" w:eastAsia="Arial" w:hAnsi="Arial" w:cs="Arial"/>
                <w:sz w:val="20"/>
                <w:szCs w:val="20"/>
              </w:rPr>
            </w:pPr>
            <w:bookmarkStart w:id="0" w:name="_GoBack"/>
            <w:bookmarkEnd w:id="0"/>
          </w:p>
        </w:tc>
        <w:tc>
          <w:tcPr>
            <w:tcW w:w="1255" w:type="dxa"/>
          </w:tcPr>
          <w:p w:rsidR="003E4C97" w:rsidRDefault="00097237">
            <w:pPr>
              <w:rPr>
                <w:rFonts w:ascii="Arial" w:eastAsia="Arial" w:hAnsi="Arial" w:cs="Arial"/>
                <w:sz w:val="20"/>
                <w:szCs w:val="20"/>
              </w:rPr>
            </w:pPr>
            <w:r>
              <w:rPr>
                <w:rFonts w:ascii="Arial" w:eastAsia="Arial" w:hAnsi="Arial" w:cs="Arial"/>
                <w:sz w:val="20"/>
                <w:szCs w:val="20"/>
              </w:rPr>
              <w:t>p. 39</w:t>
            </w:r>
          </w:p>
        </w:tc>
      </w:tr>
      <w:tr w:rsidR="003E4C97">
        <w:tc>
          <w:tcPr>
            <w:tcW w:w="9355" w:type="dxa"/>
            <w:gridSpan w:val="2"/>
          </w:tcPr>
          <w:p w:rsidR="003E4C97" w:rsidRDefault="00097237">
            <w:pPr>
              <w:rPr>
                <w:rFonts w:ascii="Arial" w:eastAsia="Arial" w:hAnsi="Arial" w:cs="Arial"/>
                <w:b/>
                <w:sz w:val="20"/>
                <w:szCs w:val="20"/>
              </w:rPr>
            </w:pPr>
            <w:r>
              <w:rPr>
                <w:rFonts w:ascii="Arial" w:eastAsia="Arial" w:hAnsi="Arial" w:cs="Arial"/>
                <w:b/>
                <w:sz w:val="20"/>
                <w:szCs w:val="20"/>
              </w:rPr>
              <w:lastRenderedPageBreak/>
              <w:t>Additional Data</w:t>
            </w:r>
          </w:p>
          <w:p w:rsidR="003E4C97" w:rsidRDefault="00097237">
            <w:pPr>
              <w:rPr>
                <w:rFonts w:ascii="Arial" w:eastAsia="Arial" w:hAnsi="Arial" w:cs="Arial"/>
                <w:sz w:val="20"/>
                <w:szCs w:val="20"/>
              </w:rPr>
            </w:pPr>
            <w:r>
              <w:rPr>
                <w:rFonts w:ascii="Arial" w:eastAsia="Arial" w:hAnsi="Arial" w:cs="Arial"/>
                <w:noProof/>
                <w:sz w:val="20"/>
                <w:szCs w:val="20"/>
              </w:rPr>
              <w:drawing>
                <wp:inline distT="114300" distB="114300" distL="114300" distR="114300">
                  <wp:extent cx="4598692" cy="162137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3972"/>
                          <a:stretch>
                            <a:fillRect/>
                          </a:stretch>
                        </pic:blipFill>
                        <pic:spPr>
                          <a:xfrm>
                            <a:off x="0" y="0"/>
                            <a:ext cx="4598692" cy="1621375"/>
                          </a:xfrm>
                          <a:prstGeom prst="rect">
                            <a:avLst/>
                          </a:prstGeom>
                          <a:ln/>
                        </pic:spPr>
                      </pic:pic>
                    </a:graphicData>
                  </a:graphic>
                </wp:inline>
              </w:drawing>
            </w:r>
          </w:p>
        </w:tc>
      </w:tr>
      <w:tr w:rsidR="003E4C97">
        <w:tc>
          <w:tcPr>
            <w:tcW w:w="9355" w:type="dxa"/>
            <w:gridSpan w:val="2"/>
            <w:tcBorders>
              <w:bottom w:val="single" w:sz="4" w:space="0" w:color="AEAAAA"/>
            </w:tcBorders>
          </w:tcPr>
          <w:p w:rsidR="003E4C97" w:rsidRDefault="00097237">
            <w:pPr>
              <w:rPr>
                <w:rFonts w:ascii="Arial" w:eastAsia="Arial" w:hAnsi="Arial" w:cs="Arial"/>
                <w:b/>
                <w:sz w:val="20"/>
                <w:szCs w:val="20"/>
              </w:rPr>
            </w:pPr>
            <w:r>
              <w:rPr>
                <w:rFonts w:ascii="Arial" w:eastAsia="Arial" w:hAnsi="Arial" w:cs="Arial"/>
                <w:b/>
                <w:sz w:val="20"/>
                <w:szCs w:val="20"/>
              </w:rPr>
              <w:t>Implications</w:t>
            </w:r>
          </w:p>
          <w:p w:rsidR="003E4C97" w:rsidRDefault="00097237">
            <w:pPr>
              <w:numPr>
                <w:ilvl w:val="0"/>
                <w:numId w:val="9"/>
              </w:numPr>
              <w:ind w:left="360"/>
              <w:rPr>
                <w:rFonts w:ascii="Arial" w:eastAsia="Arial" w:hAnsi="Arial" w:cs="Arial"/>
                <w:sz w:val="20"/>
                <w:szCs w:val="20"/>
              </w:rPr>
            </w:pPr>
            <w:r>
              <w:rPr>
                <w:rFonts w:ascii="Arial" w:eastAsia="Arial" w:hAnsi="Arial" w:cs="Arial"/>
                <w:sz w:val="20"/>
                <w:szCs w:val="20"/>
              </w:rPr>
              <w:t xml:space="preserve">ACEs can lead to poorer health outcomes including obesity, depression, and alcoholism. The greater the number of ACEs, the greater the risk for negative health outcomes. </w:t>
            </w:r>
          </w:p>
        </w:tc>
      </w:tr>
    </w:tbl>
    <w:p w:rsidR="003E4C97" w:rsidRDefault="003E4C97">
      <w:pPr>
        <w:widowControl w:val="0"/>
        <w:pBdr>
          <w:top w:val="nil"/>
          <w:left w:val="nil"/>
          <w:bottom w:val="nil"/>
          <w:right w:val="nil"/>
          <w:between w:val="nil"/>
        </w:pBdr>
        <w:spacing w:after="0" w:line="276" w:lineRule="auto"/>
        <w:rPr>
          <w:rFonts w:ascii="Arial" w:eastAsia="Arial" w:hAnsi="Arial" w:cs="Arial"/>
          <w:sz w:val="20"/>
          <w:szCs w:val="20"/>
        </w:rPr>
      </w:pPr>
    </w:p>
    <w:tbl>
      <w:tblPr>
        <w:tblStyle w:val="a7"/>
        <w:tblW w:w="9355"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65"/>
        <w:gridCol w:w="990"/>
      </w:tblGrid>
      <w:tr w:rsidR="003E4C97" w:rsidTr="003E4C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5" w:type="dxa"/>
            <w:gridSpan w:val="2"/>
            <w:tcBorders>
              <w:top w:val="single" w:sz="4" w:space="0" w:color="AEAAAA"/>
              <w:left w:val="single" w:sz="4" w:space="0" w:color="AEAAAA"/>
              <w:bottom w:val="single" w:sz="4" w:space="0" w:color="AEAAAA"/>
              <w:right w:val="single" w:sz="4" w:space="0" w:color="AEAAAA"/>
            </w:tcBorders>
            <w:shd w:val="clear" w:color="auto" w:fill="C9DAF8"/>
          </w:tcPr>
          <w:p w:rsidR="003E4C97" w:rsidRDefault="00097237">
            <w:pPr>
              <w:jc w:val="center"/>
              <w:rPr>
                <w:rFonts w:ascii="Arial" w:eastAsia="Arial" w:hAnsi="Arial" w:cs="Arial"/>
                <w:sz w:val="20"/>
                <w:szCs w:val="20"/>
              </w:rPr>
            </w:pPr>
            <w:r>
              <w:rPr>
                <w:rFonts w:ascii="Arial" w:eastAsia="Arial" w:hAnsi="Arial" w:cs="Arial"/>
              </w:rPr>
              <w:t xml:space="preserve">Poverty and Health Outcomes </w:t>
            </w:r>
          </w:p>
        </w:tc>
      </w:tr>
      <w:tr w:rsidR="003E4C97" w:rsidTr="003E4C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5" w:type="dxa"/>
            <w:tcBorders>
              <w:top w:val="single" w:sz="4" w:space="0" w:color="AEAAAA"/>
            </w:tcBorders>
          </w:tcPr>
          <w:p w:rsidR="003E4C97" w:rsidRDefault="00097237">
            <w:pPr>
              <w:rPr>
                <w:rFonts w:ascii="Arial" w:eastAsia="Arial" w:hAnsi="Arial" w:cs="Arial"/>
                <w:sz w:val="20"/>
                <w:szCs w:val="20"/>
              </w:rPr>
            </w:pPr>
            <w:r>
              <w:rPr>
                <w:rFonts w:ascii="Arial" w:eastAsia="Arial" w:hAnsi="Arial" w:cs="Arial"/>
                <w:sz w:val="20"/>
                <w:szCs w:val="20"/>
              </w:rPr>
              <w:t>Findings – Adults with Income Under $25,000 per Year</w:t>
            </w:r>
          </w:p>
        </w:tc>
        <w:tc>
          <w:tcPr>
            <w:tcW w:w="990" w:type="dxa"/>
            <w:tcBorders>
              <w:top w:val="single" w:sz="4" w:space="0" w:color="AEAAAA"/>
            </w:tcBorders>
          </w:tcPr>
          <w:p w:rsidR="003E4C97" w:rsidRDefault="00097237">
            <w:pPr>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Source</w:t>
            </w:r>
          </w:p>
        </w:tc>
      </w:tr>
      <w:tr w:rsidR="003E4C97" w:rsidTr="003E4C97">
        <w:tc>
          <w:tcPr>
            <w:cnfStyle w:val="001000000000" w:firstRow="0" w:lastRow="0" w:firstColumn="1" w:lastColumn="0" w:oddVBand="0" w:evenVBand="0" w:oddHBand="0" w:evenHBand="0" w:firstRowFirstColumn="0" w:firstRowLastColumn="0" w:lastRowFirstColumn="0" w:lastRowLastColumn="0"/>
            <w:tcW w:w="8365" w:type="dxa"/>
          </w:tcPr>
          <w:p w:rsidR="003E4C97" w:rsidRDefault="00097237">
            <w:pPr>
              <w:rPr>
                <w:rFonts w:ascii="Arial" w:eastAsia="Arial" w:hAnsi="Arial" w:cs="Arial"/>
                <w:sz w:val="20"/>
                <w:szCs w:val="20"/>
              </w:rPr>
            </w:pPr>
            <w:r>
              <w:rPr>
                <w:rFonts w:ascii="Arial" w:eastAsia="Arial" w:hAnsi="Arial" w:cs="Arial"/>
                <w:sz w:val="20"/>
                <w:szCs w:val="20"/>
              </w:rPr>
              <w:t>Quality of Life</w:t>
            </w:r>
          </w:p>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71% said quality of life was limited in some way vs. 34% of those with income &gt;$25,000.</w:t>
            </w:r>
          </w:p>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37% of adults rated their health as fair or poor vs. 7% of those with income &gt;$25,000.</w:t>
            </w:r>
          </w:p>
          <w:p w:rsidR="003E4C97" w:rsidRDefault="00097237">
            <w:pPr>
              <w:rPr>
                <w:rFonts w:ascii="Arial" w:eastAsia="Arial" w:hAnsi="Arial" w:cs="Arial"/>
                <w:sz w:val="20"/>
                <w:szCs w:val="20"/>
              </w:rPr>
            </w:pPr>
            <w:r>
              <w:rPr>
                <w:rFonts w:ascii="Arial" w:eastAsia="Arial" w:hAnsi="Arial" w:cs="Arial"/>
                <w:sz w:val="20"/>
                <w:szCs w:val="20"/>
              </w:rPr>
              <w:t>Mental Health</w:t>
            </w:r>
          </w:p>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75% rated their mental health as not good vs. 45% of adults with income &gt;$25,000.</w:t>
            </w:r>
          </w:p>
          <w:p w:rsidR="003E4C97" w:rsidRDefault="00097237">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18% felt sad or hopeless 2+ weeks in a row vs. 10% of those with income &gt;$25,000</w:t>
            </w:r>
            <w:r>
              <w:rPr>
                <w:rFonts w:ascii="Arial" w:eastAsia="Arial" w:hAnsi="Arial" w:cs="Arial"/>
                <w:b w:val="0"/>
                <w:sz w:val="20"/>
                <w:szCs w:val="20"/>
              </w:rPr>
              <w:t>.</w:t>
            </w:r>
          </w:p>
          <w:p w:rsidR="003E4C97" w:rsidRDefault="00097237">
            <w:pPr>
              <w:rPr>
                <w:rFonts w:ascii="Arial" w:eastAsia="Arial" w:hAnsi="Arial" w:cs="Arial"/>
                <w:sz w:val="20"/>
                <w:szCs w:val="20"/>
              </w:rPr>
            </w:pPr>
            <w:r>
              <w:rPr>
                <w:rFonts w:ascii="Arial" w:eastAsia="Arial" w:hAnsi="Arial" w:cs="Arial"/>
                <w:sz w:val="20"/>
                <w:szCs w:val="20"/>
              </w:rPr>
              <w:t>Weight Status</w:t>
            </w:r>
          </w:p>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87% are overweight or obese vs. 63% of those with income &gt;$25,000.</w:t>
            </w:r>
          </w:p>
          <w:p w:rsidR="003E4C97" w:rsidRDefault="00097237">
            <w:pPr>
              <w:numPr>
                <w:ilvl w:val="0"/>
                <w:numId w:val="6"/>
              </w:numPr>
              <w:rPr>
                <w:rFonts w:ascii="Arial" w:eastAsia="Arial" w:hAnsi="Arial" w:cs="Arial"/>
                <w:sz w:val="20"/>
                <w:szCs w:val="20"/>
              </w:rPr>
            </w:pPr>
            <w:r>
              <w:rPr>
                <w:rFonts w:ascii="Arial" w:eastAsia="Arial" w:hAnsi="Arial" w:cs="Arial"/>
                <w:b w:val="0"/>
                <w:sz w:val="20"/>
                <w:szCs w:val="20"/>
              </w:rPr>
              <w:t>68% are obe</w:t>
            </w:r>
            <w:r>
              <w:rPr>
                <w:rFonts w:ascii="Arial" w:eastAsia="Arial" w:hAnsi="Arial" w:cs="Arial"/>
                <w:b w:val="0"/>
                <w:sz w:val="20"/>
                <w:szCs w:val="20"/>
              </w:rPr>
              <w:t>se compared with 30% of those with income &gt;$25,000.</w:t>
            </w:r>
          </w:p>
          <w:p w:rsidR="003E4C97" w:rsidRDefault="00097237">
            <w:pPr>
              <w:rPr>
                <w:rFonts w:ascii="Arial" w:eastAsia="Arial" w:hAnsi="Arial" w:cs="Arial"/>
                <w:sz w:val="20"/>
                <w:szCs w:val="20"/>
              </w:rPr>
            </w:pPr>
            <w:r>
              <w:rPr>
                <w:rFonts w:ascii="Arial" w:eastAsia="Arial" w:hAnsi="Arial" w:cs="Arial"/>
                <w:sz w:val="20"/>
                <w:szCs w:val="20"/>
              </w:rPr>
              <w:t>Access to Care</w:t>
            </w:r>
          </w:p>
          <w:p w:rsidR="003E4C97" w:rsidRDefault="00097237">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54% had a routine exam in the past year vs. 70% of those with income &gt;$25,000</w:t>
            </w:r>
            <w:r>
              <w:rPr>
                <w:rFonts w:ascii="Arial" w:eastAsia="Arial" w:hAnsi="Arial" w:cs="Arial"/>
                <w:b w:val="0"/>
                <w:sz w:val="20"/>
                <w:szCs w:val="20"/>
              </w:rPr>
              <w:t>.</w:t>
            </w:r>
          </w:p>
          <w:p w:rsidR="003E4C97" w:rsidRDefault="00097237">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29% visited a dentist or dental clinic v. 66% of those with income &gt;$25,000.</w:t>
            </w:r>
          </w:p>
          <w:p w:rsidR="003E4C97" w:rsidRDefault="00097237">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Chronic Conditions</w:t>
            </w:r>
          </w:p>
          <w:p w:rsidR="003E4C97" w:rsidRDefault="00097237">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13% had diabet</w:t>
            </w:r>
            <w:r>
              <w:rPr>
                <w:rFonts w:ascii="Arial" w:eastAsia="Arial" w:hAnsi="Arial" w:cs="Arial"/>
                <w:b w:val="0"/>
                <w:color w:val="000000"/>
                <w:sz w:val="20"/>
                <w:szCs w:val="20"/>
              </w:rPr>
              <w:t>es vs. 7% of those with income &gt;$25,000.</w:t>
            </w:r>
          </w:p>
          <w:p w:rsidR="003E4C97" w:rsidRDefault="00097237">
            <w:p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Alcohol, Tobacco and Drug Use</w:t>
            </w:r>
          </w:p>
          <w:p w:rsidR="003E4C97" w:rsidRDefault="00097237">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81% were current drinkers compared to 70% those with income &gt;$25,000 and had an average of 6.6 alcoholic drinks vs. 3.0 drinks for those with income &gt;$25,000.</w:t>
            </w:r>
          </w:p>
          <w:p w:rsidR="003E4C97" w:rsidRDefault="00097237">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13% used recreational marijuana in the past 6 mos. vs. 3% with income &gt;$25,000.</w:t>
            </w:r>
          </w:p>
          <w:p w:rsidR="003E4C97" w:rsidRDefault="00097237">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color w:val="000000"/>
                <w:sz w:val="20"/>
                <w:szCs w:val="20"/>
              </w:rPr>
              <w:t>11% misused prescription medication in the past 6 mos. vs. 3% with income &gt;$25,000.</w:t>
            </w:r>
          </w:p>
          <w:p w:rsidR="003E4C97" w:rsidRDefault="00097237">
            <w:pPr>
              <w:pBdr>
                <w:top w:val="nil"/>
                <w:left w:val="nil"/>
                <w:bottom w:val="nil"/>
                <w:right w:val="nil"/>
                <w:between w:val="nil"/>
              </w:pBdr>
              <w:spacing w:line="259" w:lineRule="auto"/>
              <w:ind w:left="-25"/>
              <w:rPr>
                <w:rFonts w:ascii="Arial" w:eastAsia="Arial" w:hAnsi="Arial" w:cs="Arial"/>
                <w:color w:val="000000"/>
                <w:sz w:val="20"/>
                <w:szCs w:val="20"/>
              </w:rPr>
            </w:pPr>
            <w:r>
              <w:rPr>
                <w:rFonts w:ascii="Arial" w:eastAsia="Arial" w:hAnsi="Arial" w:cs="Arial"/>
                <w:color w:val="000000"/>
                <w:sz w:val="20"/>
                <w:szCs w:val="20"/>
              </w:rPr>
              <w:t>Sexual Behavior</w:t>
            </w:r>
          </w:p>
          <w:p w:rsidR="003E4C97" w:rsidRDefault="00097237">
            <w:pPr>
              <w:numPr>
                <w:ilvl w:val="0"/>
                <w:numId w:val="6"/>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b w:val="0"/>
                <w:sz w:val="20"/>
                <w:szCs w:val="20"/>
              </w:rPr>
              <w:t xml:space="preserve">At some point in their lives, </w:t>
            </w:r>
            <w:r>
              <w:rPr>
                <w:rFonts w:ascii="Arial" w:eastAsia="Arial" w:hAnsi="Arial" w:cs="Arial"/>
                <w:b w:val="0"/>
                <w:color w:val="000000"/>
                <w:sz w:val="20"/>
                <w:szCs w:val="20"/>
              </w:rPr>
              <w:t>27% had been forced to have sexual activity</w:t>
            </w:r>
            <w:r>
              <w:rPr>
                <w:rFonts w:ascii="Arial" w:eastAsia="Arial" w:hAnsi="Arial" w:cs="Arial"/>
                <w:b w:val="0"/>
                <w:sz w:val="20"/>
                <w:szCs w:val="20"/>
              </w:rPr>
              <w:t xml:space="preserve"> </w:t>
            </w:r>
            <w:r>
              <w:rPr>
                <w:rFonts w:ascii="Arial" w:eastAsia="Arial" w:hAnsi="Arial" w:cs="Arial"/>
                <w:b w:val="0"/>
                <w:color w:val="000000"/>
                <w:sz w:val="20"/>
                <w:szCs w:val="20"/>
              </w:rPr>
              <w:t>wh</w:t>
            </w:r>
            <w:r>
              <w:rPr>
                <w:rFonts w:ascii="Arial" w:eastAsia="Arial" w:hAnsi="Arial" w:cs="Arial"/>
                <w:b w:val="0"/>
                <w:color w:val="000000"/>
                <w:sz w:val="20"/>
                <w:szCs w:val="20"/>
              </w:rPr>
              <w:t>en they did not want to vs. 14% of the total adult population</w:t>
            </w:r>
            <w:r>
              <w:rPr>
                <w:rFonts w:ascii="Arial" w:eastAsia="Arial" w:hAnsi="Arial" w:cs="Arial"/>
                <w:b w:val="0"/>
                <w:sz w:val="20"/>
                <w:szCs w:val="20"/>
              </w:rPr>
              <w:t>.</w:t>
            </w:r>
          </w:p>
          <w:p w:rsidR="003E4C97" w:rsidRDefault="00097237">
            <w:pPr>
              <w:rPr>
                <w:rFonts w:ascii="Arial" w:eastAsia="Arial" w:hAnsi="Arial" w:cs="Arial"/>
                <w:sz w:val="20"/>
                <w:szCs w:val="20"/>
              </w:rPr>
            </w:pPr>
            <w:r>
              <w:rPr>
                <w:rFonts w:ascii="Arial" w:eastAsia="Arial" w:hAnsi="Arial" w:cs="Arial"/>
                <w:sz w:val="20"/>
                <w:szCs w:val="20"/>
              </w:rPr>
              <w:t>ACEs</w:t>
            </w:r>
          </w:p>
          <w:p w:rsidR="003E4C97" w:rsidRDefault="00097237">
            <w:pPr>
              <w:numPr>
                <w:ilvl w:val="0"/>
                <w:numId w:val="6"/>
              </w:numPr>
              <w:pBdr>
                <w:top w:val="nil"/>
                <w:left w:val="nil"/>
                <w:bottom w:val="nil"/>
                <w:right w:val="nil"/>
                <w:between w:val="nil"/>
              </w:pBdr>
              <w:spacing w:line="256" w:lineRule="auto"/>
              <w:rPr>
                <w:rFonts w:ascii="Arial" w:eastAsia="Arial" w:hAnsi="Arial" w:cs="Arial"/>
                <w:color w:val="000000"/>
                <w:sz w:val="20"/>
                <w:szCs w:val="20"/>
              </w:rPr>
            </w:pPr>
            <w:r>
              <w:rPr>
                <w:rFonts w:ascii="Arial" w:eastAsia="Arial" w:hAnsi="Arial" w:cs="Arial"/>
                <w:b w:val="0"/>
                <w:color w:val="000000"/>
                <w:sz w:val="20"/>
                <w:szCs w:val="20"/>
              </w:rPr>
              <w:t>26% experienced 4 or more ACESs vs. 17% of those with income &gt;$25,000</w:t>
            </w:r>
          </w:p>
        </w:tc>
        <w:tc>
          <w:tcPr>
            <w:tcW w:w="990" w:type="dxa"/>
          </w:tcPr>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95</w:t>
            </w: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48-9</w:t>
            </w:r>
          </w:p>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48</w:t>
            </w: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76</w:t>
            </w:r>
          </w:p>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53</w:t>
            </w: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53</w:t>
            </w:r>
          </w:p>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37</w:t>
            </w: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46</w:t>
            </w:r>
          </w:p>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92</w:t>
            </w:r>
          </w:p>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61</w:t>
            </w:r>
          </w:p>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65</w:t>
            </w: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65</w:t>
            </w:r>
          </w:p>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70</w:t>
            </w:r>
          </w:p>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3E4C9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rsidR="003E4C97" w:rsidRDefault="0009723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p. 100</w:t>
            </w:r>
          </w:p>
        </w:tc>
      </w:tr>
      <w:tr w:rsidR="003E4C97" w:rsidTr="003E4C97">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9355" w:type="dxa"/>
            <w:gridSpan w:val="2"/>
          </w:tcPr>
          <w:p w:rsidR="003E4C97" w:rsidRDefault="00097237">
            <w:pPr>
              <w:pBdr>
                <w:top w:val="nil"/>
                <w:left w:val="nil"/>
                <w:bottom w:val="nil"/>
                <w:right w:val="nil"/>
                <w:between w:val="nil"/>
              </w:pBdr>
              <w:rPr>
                <w:rFonts w:ascii="Arial" w:eastAsia="Arial" w:hAnsi="Arial" w:cs="Arial"/>
                <w:color w:val="000000"/>
                <w:sz w:val="24"/>
                <w:szCs w:val="24"/>
              </w:rPr>
            </w:pPr>
            <w:r>
              <w:rPr>
                <w:rFonts w:ascii="Arial" w:eastAsia="Arial" w:hAnsi="Arial" w:cs="Arial"/>
                <w:b w:val="0"/>
                <w:color w:val="000000"/>
                <w:sz w:val="20"/>
                <w:szCs w:val="20"/>
              </w:rPr>
              <w:t xml:space="preserve"> </w:t>
            </w:r>
            <w:r>
              <w:rPr>
                <w:rFonts w:ascii="Arial" w:eastAsia="Arial" w:hAnsi="Arial" w:cs="Arial"/>
                <w:color w:val="000000"/>
                <w:sz w:val="20"/>
                <w:szCs w:val="20"/>
              </w:rPr>
              <w:t>Additional Analysis </w:t>
            </w:r>
          </w:p>
          <w:p w:rsidR="003E4C97" w:rsidRDefault="00097237">
            <w:pPr>
              <w:numPr>
                <w:ilvl w:val="0"/>
                <w:numId w:val="1"/>
              </w:numPr>
              <w:ind w:left="360"/>
              <w:rPr>
                <w:rFonts w:ascii="Arial" w:eastAsia="Arial" w:hAnsi="Arial" w:cs="Arial"/>
                <w:color w:val="000000"/>
                <w:sz w:val="20"/>
                <w:szCs w:val="20"/>
              </w:rPr>
            </w:pPr>
            <w:r>
              <w:rPr>
                <w:rFonts w:ascii="Arial" w:eastAsia="Arial" w:hAnsi="Arial" w:cs="Arial"/>
                <w:b w:val="0"/>
                <w:color w:val="000000"/>
                <w:sz w:val="20"/>
                <w:szCs w:val="20"/>
              </w:rPr>
              <w:t>9.9% of Wood County residents live in poverty (U.S. Census Bureau, 2021)</w:t>
            </w:r>
          </w:p>
          <w:p w:rsidR="003E4C97" w:rsidRDefault="00097237">
            <w:pPr>
              <w:numPr>
                <w:ilvl w:val="0"/>
                <w:numId w:val="1"/>
              </w:numPr>
              <w:ind w:left="360"/>
              <w:rPr>
                <w:rFonts w:ascii="Arial" w:eastAsia="Arial" w:hAnsi="Arial" w:cs="Arial"/>
                <w:sz w:val="20"/>
                <w:szCs w:val="20"/>
              </w:rPr>
            </w:pPr>
            <w:r>
              <w:rPr>
                <w:rFonts w:ascii="Arial" w:eastAsia="Arial" w:hAnsi="Arial" w:cs="Arial"/>
                <w:b w:val="0"/>
                <w:sz w:val="20"/>
                <w:szCs w:val="20"/>
              </w:rPr>
              <w:t xml:space="preserve">2% of respondents said someone in the household went to bed hungry at least 2 days a week </w:t>
            </w:r>
          </w:p>
          <w:p w:rsidR="003E4C97" w:rsidRDefault="00097237">
            <w:pPr>
              <w:numPr>
                <w:ilvl w:val="1"/>
                <w:numId w:val="1"/>
              </w:numPr>
              <w:ind w:left="720"/>
              <w:rPr>
                <w:rFonts w:ascii="Arial" w:eastAsia="Arial" w:hAnsi="Arial" w:cs="Arial"/>
                <w:sz w:val="20"/>
                <w:szCs w:val="20"/>
              </w:rPr>
            </w:pPr>
            <w:r>
              <w:rPr>
                <w:rFonts w:ascii="Arial" w:eastAsia="Arial" w:hAnsi="Arial" w:cs="Arial"/>
                <w:b w:val="0"/>
                <w:sz w:val="20"/>
                <w:szCs w:val="20"/>
              </w:rPr>
              <w:t>Of those, 43% had household income at or below $34,000</w:t>
            </w:r>
          </w:p>
        </w:tc>
      </w:tr>
      <w:tr w:rsidR="003E4C97" w:rsidTr="003E4C97">
        <w:tc>
          <w:tcPr>
            <w:cnfStyle w:val="001000000000" w:firstRow="0" w:lastRow="0" w:firstColumn="1" w:lastColumn="0" w:oddVBand="0" w:evenVBand="0" w:oddHBand="0" w:evenHBand="0" w:firstRowFirstColumn="0" w:firstRowLastColumn="0" w:lastRowFirstColumn="0" w:lastRowLastColumn="0"/>
            <w:tcW w:w="9355" w:type="dxa"/>
            <w:gridSpan w:val="2"/>
          </w:tcPr>
          <w:p w:rsidR="003E4C97" w:rsidRDefault="00097237">
            <w:pPr>
              <w:rPr>
                <w:rFonts w:ascii="Arial" w:eastAsia="Arial" w:hAnsi="Arial" w:cs="Arial"/>
                <w:sz w:val="20"/>
                <w:szCs w:val="20"/>
              </w:rPr>
            </w:pPr>
            <w:r>
              <w:rPr>
                <w:rFonts w:ascii="Arial" w:eastAsia="Arial" w:hAnsi="Arial" w:cs="Arial"/>
                <w:sz w:val="20"/>
                <w:szCs w:val="20"/>
              </w:rPr>
              <w:t>Implications</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b w:val="0"/>
                <w:color w:val="000000"/>
                <w:sz w:val="20"/>
                <w:szCs w:val="20"/>
              </w:rPr>
              <w:t>People who live in poverty generally have poorer health outcomes due to increased risk of mental illness, chronic diseases such as heart disease and heart disease and shorter life expectancy (Healthy People 2030).</w:t>
            </w:r>
          </w:p>
        </w:tc>
      </w:tr>
    </w:tbl>
    <w:p w:rsidR="003E4C97" w:rsidRDefault="003E4C97">
      <w:pPr>
        <w:widowControl w:val="0"/>
        <w:pBdr>
          <w:top w:val="nil"/>
          <w:left w:val="nil"/>
          <w:bottom w:val="nil"/>
          <w:right w:val="nil"/>
          <w:between w:val="nil"/>
        </w:pBdr>
        <w:spacing w:after="0" w:line="276" w:lineRule="auto"/>
        <w:rPr>
          <w:rFonts w:ascii="Arial" w:eastAsia="Arial" w:hAnsi="Arial" w:cs="Arial"/>
          <w:color w:val="000000"/>
          <w:sz w:val="20"/>
          <w:szCs w:val="20"/>
        </w:rPr>
      </w:pPr>
    </w:p>
    <w:tbl>
      <w:tblPr>
        <w:tblStyle w:val="a8"/>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365"/>
        <w:gridCol w:w="90"/>
        <w:gridCol w:w="895"/>
      </w:tblGrid>
      <w:tr w:rsidR="003E4C97">
        <w:tc>
          <w:tcPr>
            <w:tcW w:w="9350" w:type="dxa"/>
            <w:gridSpan w:val="3"/>
            <w:shd w:val="clear" w:color="auto" w:fill="002060"/>
          </w:tcPr>
          <w:p w:rsidR="003E4C97" w:rsidRDefault="00097237">
            <w:pPr>
              <w:jc w:val="center"/>
              <w:rPr>
                <w:rFonts w:ascii="Arial" w:eastAsia="Arial" w:hAnsi="Arial" w:cs="Arial"/>
                <w:b/>
                <w:color w:val="FFFFFF"/>
              </w:rPr>
            </w:pPr>
            <w:r>
              <w:rPr>
                <w:rFonts w:ascii="Arial" w:eastAsia="Arial" w:hAnsi="Arial" w:cs="Arial"/>
                <w:b/>
                <w:color w:val="FFFFFF"/>
                <w:sz w:val="28"/>
                <w:szCs w:val="28"/>
              </w:rPr>
              <w:lastRenderedPageBreak/>
              <w:t>Youth Data</w:t>
            </w:r>
          </w:p>
        </w:tc>
      </w:tr>
      <w:tr w:rsidR="003E4C97">
        <w:tc>
          <w:tcPr>
            <w:tcW w:w="9350" w:type="dxa"/>
            <w:gridSpan w:val="3"/>
            <w:shd w:val="clear" w:color="auto" w:fill="B4C6E7"/>
          </w:tcPr>
          <w:p w:rsidR="003E4C97" w:rsidRDefault="00097237">
            <w:pPr>
              <w:jc w:val="center"/>
              <w:rPr>
                <w:rFonts w:ascii="Arial" w:eastAsia="Arial" w:hAnsi="Arial" w:cs="Arial"/>
                <w:b/>
              </w:rPr>
            </w:pPr>
            <w:r>
              <w:rPr>
                <w:rFonts w:ascii="Arial" w:eastAsia="Arial" w:hAnsi="Arial" w:cs="Arial"/>
                <w:b/>
              </w:rPr>
              <w:t>Mental Health</w:t>
            </w:r>
          </w:p>
        </w:tc>
      </w:tr>
      <w:tr w:rsidR="003E4C97">
        <w:tc>
          <w:tcPr>
            <w:tcW w:w="8455" w:type="dxa"/>
            <w:gridSpan w:val="2"/>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Findings</w:t>
            </w:r>
          </w:p>
        </w:tc>
        <w:tc>
          <w:tcPr>
            <w:tcW w:w="895" w:type="dxa"/>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Source</w:t>
            </w:r>
          </w:p>
        </w:tc>
      </w:tr>
      <w:tr w:rsidR="003E4C97">
        <w:tc>
          <w:tcPr>
            <w:tcW w:w="8455" w:type="dxa"/>
            <w:gridSpan w:val="2"/>
            <w:shd w:val="clear" w:color="auto" w:fill="auto"/>
          </w:tcPr>
          <w:p w:rsidR="003E4C97" w:rsidRDefault="00097237">
            <w:pPr>
              <w:numPr>
                <w:ilvl w:val="0"/>
                <w:numId w:val="14"/>
              </w:numPr>
              <w:rPr>
                <w:rFonts w:ascii="Arial" w:eastAsia="Arial" w:hAnsi="Arial" w:cs="Arial"/>
                <w:sz w:val="20"/>
                <w:szCs w:val="20"/>
              </w:rPr>
            </w:pPr>
            <w:r>
              <w:rPr>
                <w:rFonts w:ascii="Arial" w:eastAsia="Arial" w:hAnsi="Arial" w:cs="Arial"/>
                <w:sz w:val="20"/>
                <w:szCs w:val="20"/>
              </w:rPr>
              <w:t>29% of youth reported they felt so sad or hopeless almost every day for two weeks or more in a row that they stopped doing some usual activities in the past year.</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Only 23% reported that they did not have anxiety, stress or depression.</w:t>
            </w:r>
          </w:p>
          <w:p w:rsidR="003E4C97" w:rsidRDefault="00097237">
            <w:pPr>
              <w:numPr>
                <w:ilvl w:val="0"/>
                <w:numId w:val="14"/>
              </w:numPr>
              <w:rPr>
                <w:rFonts w:ascii="Arial" w:eastAsia="Arial" w:hAnsi="Arial" w:cs="Arial"/>
                <w:sz w:val="20"/>
                <w:szCs w:val="20"/>
              </w:rPr>
            </w:pPr>
            <w:r>
              <w:rPr>
                <w:rFonts w:ascii="Arial" w:eastAsia="Arial" w:hAnsi="Arial" w:cs="Arial"/>
                <w:sz w:val="20"/>
                <w:szCs w:val="20"/>
              </w:rPr>
              <w:t>Major contributors to anxiety, stress, or depression were:</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 xml:space="preserve">Academic success (48%), self-image (36%), sports (33%), fighting with friends (30%). </w:t>
            </w:r>
          </w:p>
          <w:p w:rsidR="003E4C97" w:rsidRDefault="00097237">
            <w:pPr>
              <w:numPr>
                <w:ilvl w:val="0"/>
                <w:numId w:val="14"/>
              </w:numPr>
              <w:rPr>
                <w:rFonts w:ascii="Arial" w:eastAsia="Arial" w:hAnsi="Arial" w:cs="Arial"/>
                <w:sz w:val="20"/>
                <w:szCs w:val="20"/>
              </w:rPr>
            </w:pPr>
            <w:r>
              <w:rPr>
                <w:rFonts w:ascii="Arial" w:eastAsia="Arial" w:hAnsi="Arial" w:cs="Arial"/>
                <w:sz w:val="20"/>
                <w:szCs w:val="20"/>
              </w:rPr>
              <w:t>14% of youth had seriously considered attempting suicide in the past year.</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5% attempted suicide in the past yea</w:t>
            </w:r>
            <w:r>
              <w:rPr>
                <w:rFonts w:ascii="Arial" w:eastAsia="Arial" w:hAnsi="Arial" w:cs="Arial"/>
                <w:sz w:val="20"/>
                <w:szCs w:val="20"/>
              </w:rPr>
              <w:t>r.</w:t>
            </w:r>
          </w:p>
          <w:p w:rsidR="003E4C97" w:rsidRDefault="00097237">
            <w:pPr>
              <w:numPr>
                <w:ilvl w:val="0"/>
                <w:numId w:val="14"/>
              </w:numPr>
              <w:rPr>
                <w:rFonts w:ascii="Arial" w:eastAsia="Arial" w:hAnsi="Arial" w:cs="Arial"/>
                <w:sz w:val="20"/>
                <w:szCs w:val="20"/>
              </w:rPr>
            </w:pPr>
            <w:r>
              <w:rPr>
                <w:rFonts w:ascii="Arial" w:eastAsia="Arial" w:hAnsi="Arial" w:cs="Arial"/>
                <w:sz w:val="20"/>
                <w:szCs w:val="20"/>
              </w:rPr>
              <w:t xml:space="preserve">20% purposely hurt themselves sometime in their life. </w:t>
            </w:r>
          </w:p>
          <w:p w:rsidR="003E4C97" w:rsidRDefault="00097237">
            <w:pPr>
              <w:numPr>
                <w:ilvl w:val="0"/>
                <w:numId w:val="14"/>
              </w:numPr>
              <w:rPr>
                <w:rFonts w:ascii="Arial" w:eastAsia="Arial" w:hAnsi="Arial" w:cs="Arial"/>
                <w:sz w:val="20"/>
                <w:szCs w:val="20"/>
              </w:rPr>
            </w:pPr>
            <w:r>
              <w:rPr>
                <w:rFonts w:ascii="Arial" w:eastAsia="Arial" w:hAnsi="Arial" w:cs="Arial"/>
                <w:sz w:val="20"/>
                <w:szCs w:val="20"/>
              </w:rPr>
              <w:t>Youth said they would reach out to the following to express feelings of depression or suicide:</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 xml:space="preserve">Best friend (59%), parent (33%), girlfriend or boyfriend (22%), and sibling (22%) </w:t>
            </w:r>
          </w:p>
          <w:p w:rsidR="003E4C97" w:rsidRDefault="00097237">
            <w:pPr>
              <w:numPr>
                <w:ilvl w:val="1"/>
                <w:numId w:val="14"/>
              </w:numPr>
              <w:ind w:left="695"/>
              <w:rPr>
                <w:rFonts w:ascii="Arial" w:eastAsia="Arial" w:hAnsi="Arial" w:cs="Arial"/>
                <w:b/>
                <w:sz w:val="20"/>
                <w:szCs w:val="20"/>
              </w:rPr>
            </w:pPr>
            <w:r>
              <w:rPr>
                <w:rFonts w:ascii="Arial" w:eastAsia="Arial" w:hAnsi="Arial" w:cs="Arial"/>
                <w:sz w:val="20"/>
                <w:szCs w:val="20"/>
              </w:rPr>
              <w:t>8% of youth reported</w:t>
            </w:r>
            <w:r>
              <w:rPr>
                <w:rFonts w:ascii="Arial" w:eastAsia="Arial" w:hAnsi="Arial" w:cs="Arial"/>
                <w:sz w:val="20"/>
                <w:szCs w:val="20"/>
              </w:rPr>
              <w:t xml:space="preserve"> they would seek care from a professional counselor</w:t>
            </w:r>
          </w:p>
          <w:p w:rsidR="003E4C97" w:rsidRDefault="00097237">
            <w:pPr>
              <w:numPr>
                <w:ilvl w:val="1"/>
                <w:numId w:val="14"/>
              </w:numPr>
              <w:ind w:left="695"/>
              <w:rPr>
                <w:rFonts w:ascii="Arial" w:eastAsia="Arial" w:hAnsi="Arial" w:cs="Arial"/>
                <w:b/>
                <w:sz w:val="20"/>
                <w:szCs w:val="20"/>
              </w:rPr>
            </w:pPr>
            <w:r>
              <w:rPr>
                <w:rFonts w:ascii="Arial" w:eastAsia="Arial" w:hAnsi="Arial" w:cs="Arial"/>
                <w:sz w:val="20"/>
                <w:szCs w:val="20"/>
              </w:rPr>
              <w:t>6% reported they would seek help from a school counselor</w:t>
            </w:r>
          </w:p>
          <w:p w:rsidR="003E4C97" w:rsidRDefault="00097237">
            <w:pPr>
              <w:numPr>
                <w:ilvl w:val="1"/>
                <w:numId w:val="14"/>
              </w:numPr>
              <w:ind w:left="695"/>
              <w:rPr>
                <w:rFonts w:ascii="Arial" w:eastAsia="Arial" w:hAnsi="Arial" w:cs="Arial"/>
                <w:b/>
                <w:sz w:val="20"/>
                <w:szCs w:val="20"/>
              </w:rPr>
            </w:pPr>
            <w:r>
              <w:rPr>
                <w:rFonts w:ascii="Arial" w:eastAsia="Arial" w:hAnsi="Arial" w:cs="Arial"/>
                <w:sz w:val="20"/>
                <w:szCs w:val="20"/>
              </w:rPr>
              <w:t>2% said they would seek help through a Crisis Text Line</w:t>
            </w:r>
          </w:p>
          <w:p w:rsidR="003E4C97" w:rsidRDefault="00097237">
            <w:pPr>
              <w:numPr>
                <w:ilvl w:val="0"/>
                <w:numId w:val="14"/>
              </w:numPr>
              <w:rPr>
                <w:rFonts w:ascii="Arial" w:eastAsia="Arial" w:hAnsi="Arial" w:cs="Arial"/>
                <w:b/>
                <w:sz w:val="20"/>
                <w:szCs w:val="20"/>
              </w:rPr>
            </w:pPr>
            <w:r>
              <w:rPr>
                <w:rFonts w:ascii="Arial" w:eastAsia="Arial" w:hAnsi="Arial" w:cs="Arial"/>
                <w:sz w:val="20"/>
                <w:szCs w:val="20"/>
              </w:rPr>
              <w:t xml:space="preserve">25% reported they had no one to talk to. </w:t>
            </w:r>
          </w:p>
          <w:p w:rsidR="003E4C97" w:rsidRDefault="00097237">
            <w:pPr>
              <w:numPr>
                <w:ilvl w:val="0"/>
                <w:numId w:val="14"/>
              </w:numPr>
              <w:rPr>
                <w:rFonts w:ascii="Arial" w:eastAsia="Arial" w:hAnsi="Arial" w:cs="Arial"/>
                <w:b/>
                <w:sz w:val="20"/>
                <w:szCs w:val="20"/>
              </w:rPr>
            </w:pPr>
            <w:r>
              <w:rPr>
                <w:rFonts w:ascii="Arial" w:eastAsia="Arial" w:hAnsi="Arial" w:cs="Arial"/>
                <w:sz w:val="20"/>
                <w:szCs w:val="20"/>
              </w:rPr>
              <w:t>Youth coping mechanisms for mental health include</w:t>
            </w:r>
            <w:r>
              <w:rPr>
                <w:rFonts w:ascii="Arial" w:eastAsia="Arial" w:hAnsi="Arial" w:cs="Arial"/>
                <w:sz w:val="20"/>
                <w:szCs w:val="20"/>
              </w:rPr>
              <w:t>d sleeping (41%), hobbies (33%), exercising (29%), and (3%) Drinking alcohol/smoking/using tobacco/illegal drugs.</w:t>
            </w:r>
          </w:p>
        </w:tc>
        <w:tc>
          <w:tcPr>
            <w:tcW w:w="895" w:type="dxa"/>
            <w:shd w:val="clear" w:color="auto" w:fill="auto"/>
          </w:tcPr>
          <w:p w:rsidR="003E4C97" w:rsidRDefault="00097237">
            <w:pPr>
              <w:rPr>
                <w:rFonts w:ascii="Arial" w:eastAsia="Arial" w:hAnsi="Arial" w:cs="Arial"/>
                <w:sz w:val="20"/>
                <w:szCs w:val="20"/>
              </w:rPr>
            </w:pPr>
            <w:r>
              <w:rPr>
                <w:rFonts w:ascii="Arial" w:eastAsia="Arial" w:hAnsi="Arial" w:cs="Arial"/>
                <w:sz w:val="20"/>
                <w:szCs w:val="20"/>
              </w:rPr>
              <w:t>p.120</w:t>
            </w: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097237">
            <w:pPr>
              <w:rPr>
                <w:rFonts w:ascii="Arial" w:eastAsia="Arial" w:hAnsi="Arial" w:cs="Arial"/>
                <w:sz w:val="20"/>
                <w:szCs w:val="20"/>
              </w:rPr>
            </w:pPr>
            <w:r>
              <w:rPr>
                <w:rFonts w:ascii="Arial" w:eastAsia="Arial" w:hAnsi="Arial" w:cs="Arial"/>
                <w:sz w:val="20"/>
                <w:szCs w:val="20"/>
              </w:rPr>
              <w:t>p. 118</w:t>
            </w: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097237">
            <w:pPr>
              <w:rPr>
                <w:rFonts w:ascii="Arial" w:eastAsia="Arial" w:hAnsi="Arial" w:cs="Arial"/>
                <w:sz w:val="20"/>
                <w:szCs w:val="20"/>
              </w:rPr>
            </w:pPr>
            <w:r>
              <w:rPr>
                <w:rFonts w:ascii="Arial" w:eastAsia="Arial" w:hAnsi="Arial" w:cs="Arial"/>
                <w:sz w:val="20"/>
                <w:szCs w:val="20"/>
              </w:rPr>
              <w:t>p. 119</w:t>
            </w:r>
          </w:p>
          <w:p w:rsidR="003E4C97" w:rsidRDefault="003E4C97">
            <w:pPr>
              <w:rPr>
                <w:rFonts w:ascii="Arial" w:eastAsia="Arial" w:hAnsi="Arial" w:cs="Arial"/>
                <w:sz w:val="20"/>
                <w:szCs w:val="20"/>
              </w:rPr>
            </w:pPr>
          </w:p>
          <w:p w:rsidR="003E4C97" w:rsidRDefault="00097237">
            <w:pPr>
              <w:rPr>
                <w:rFonts w:ascii="Arial" w:eastAsia="Arial" w:hAnsi="Arial" w:cs="Arial"/>
                <w:sz w:val="20"/>
                <w:szCs w:val="20"/>
              </w:rPr>
            </w:pPr>
            <w:r>
              <w:rPr>
                <w:rFonts w:ascii="Arial" w:eastAsia="Arial" w:hAnsi="Arial" w:cs="Arial"/>
                <w:sz w:val="20"/>
                <w:szCs w:val="20"/>
              </w:rPr>
              <w:t>p. 125</w:t>
            </w:r>
          </w:p>
          <w:p w:rsidR="003E4C97" w:rsidRDefault="00097237">
            <w:pPr>
              <w:rPr>
                <w:rFonts w:ascii="Arial" w:eastAsia="Arial" w:hAnsi="Arial" w:cs="Arial"/>
                <w:sz w:val="20"/>
                <w:szCs w:val="20"/>
              </w:rPr>
            </w:pPr>
            <w:r>
              <w:rPr>
                <w:rFonts w:ascii="Arial" w:eastAsia="Arial" w:hAnsi="Arial" w:cs="Arial"/>
                <w:sz w:val="20"/>
                <w:szCs w:val="20"/>
              </w:rPr>
              <w:t>p. 118</w:t>
            </w: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097237">
            <w:pPr>
              <w:rPr>
                <w:rFonts w:ascii="Arial" w:eastAsia="Arial" w:hAnsi="Arial" w:cs="Arial"/>
                <w:sz w:val="20"/>
                <w:szCs w:val="20"/>
              </w:rPr>
            </w:pPr>
            <w:r>
              <w:rPr>
                <w:rFonts w:ascii="Arial" w:eastAsia="Arial" w:hAnsi="Arial" w:cs="Arial"/>
                <w:sz w:val="20"/>
                <w:szCs w:val="20"/>
              </w:rPr>
              <w:t>p. 118</w:t>
            </w:r>
          </w:p>
          <w:p w:rsidR="003E4C97" w:rsidRDefault="00097237">
            <w:pPr>
              <w:rPr>
                <w:rFonts w:ascii="Arial" w:eastAsia="Arial" w:hAnsi="Arial" w:cs="Arial"/>
                <w:sz w:val="20"/>
                <w:szCs w:val="20"/>
              </w:rPr>
            </w:pPr>
            <w:r>
              <w:rPr>
                <w:rFonts w:ascii="Arial" w:eastAsia="Arial" w:hAnsi="Arial" w:cs="Arial"/>
                <w:sz w:val="20"/>
                <w:szCs w:val="20"/>
              </w:rPr>
              <w:t>p. 118</w:t>
            </w:r>
          </w:p>
          <w:p w:rsidR="003E4C97" w:rsidRDefault="003E4C97">
            <w:pPr>
              <w:rPr>
                <w:rFonts w:ascii="Arial" w:eastAsia="Arial" w:hAnsi="Arial" w:cs="Arial"/>
                <w:b/>
                <w:sz w:val="20"/>
                <w:szCs w:val="20"/>
              </w:rPr>
            </w:pPr>
          </w:p>
        </w:tc>
      </w:tr>
      <w:tr w:rsidR="003E4C97">
        <w:tc>
          <w:tcPr>
            <w:tcW w:w="9350" w:type="dxa"/>
            <w:gridSpan w:val="3"/>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Additional Analysis</w:t>
            </w:r>
          </w:p>
          <w:p w:rsidR="003E4C97" w:rsidRDefault="00097237">
            <w:pPr>
              <w:rPr>
                <w:rFonts w:ascii="Arial" w:eastAsia="Arial" w:hAnsi="Arial" w:cs="Arial"/>
                <w:b/>
                <w:sz w:val="20"/>
                <w:szCs w:val="20"/>
              </w:rPr>
            </w:pPr>
            <w:r>
              <w:rPr>
                <w:rFonts w:ascii="Arial" w:eastAsia="Arial" w:hAnsi="Arial" w:cs="Arial"/>
                <w:sz w:val="20"/>
                <w:szCs w:val="20"/>
              </w:rPr>
              <w:t>30% of youth reported being bullied in the past year, and 29% of youth who reported being bullied seriously considered attempting suicide.</w:t>
            </w:r>
          </w:p>
        </w:tc>
      </w:tr>
      <w:tr w:rsidR="003E4C97">
        <w:tc>
          <w:tcPr>
            <w:tcW w:w="9350" w:type="dxa"/>
            <w:gridSpan w:val="3"/>
            <w:shd w:val="clear" w:color="auto" w:fill="auto"/>
          </w:tcPr>
          <w:p w:rsidR="003E4C97" w:rsidRDefault="00097237">
            <w:pPr>
              <w:rPr>
                <w:rFonts w:ascii="Arial" w:eastAsia="Arial" w:hAnsi="Arial" w:cs="Arial"/>
                <w:sz w:val="20"/>
                <w:szCs w:val="20"/>
              </w:rPr>
            </w:pPr>
            <w:r>
              <w:rPr>
                <w:rFonts w:ascii="Arial" w:eastAsia="Arial" w:hAnsi="Arial" w:cs="Arial"/>
                <w:sz w:val="20"/>
                <w:szCs w:val="20"/>
              </w:rPr>
              <w:t>I</w:t>
            </w:r>
            <w:r>
              <w:rPr>
                <w:rFonts w:ascii="Arial" w:eastAsia="Arial" w:hAnsi="Arial" w:cs="Arial"/>
                <w:b/>
                <w:sz w:val="20"/>
                <w:szCs w:val="20"/>
              </w:rPr>
              <w:t>mplications</w:t>
            </w:r>
          </w:p>
          <w:p w:rsidR="003E4C97" w:rsidRDefault="00097237">
            <w:pPr>
              <w:numPr>
                <w:ilvl w:val="0"/>
                <w:numId w:val="2"/>
              </w:numPr>
              <w:ind w:left="360"/>
              <w:rPr>
                <w:rFonts w:ascii="Arial" w:eastAsia="Arial" w:hAnsi="Arial" w:cs="Arial"/>
                <w:b/>
                <w:color w:val="000000"/>
                <w:sz w:val="20"/>
                <w:szCs w:val="20"/>
              </w:rPr>
            </w:pPr>
            <w:r>
              <w:rPr>
                <w:rFonts w:ascii="Arial" w:eastAsia="Arial" w:hAnsi="Arial" w:cs="Arial"/>
                <w:color w:val="000000"/>
                <w:sz w:val="20"/>
                <w:szCs w:val="20"/>
              </w:rPr>
              <w:t>Mental health challenges emerged as a significant issue for youth. While rates of seriously contemplating suicide declined vs. 2018, nearly 20% of youth seriously considered or attempted suicide in the past year.</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 xml:space="preserve">Bullying may increase risk of suicide. </w:t>
            </w:r>
          </w:p>
          <w:p w:rsidR="003E4C97" w:rsidRDefault="00097237">
            <w:pPr>
              <w:numPr>
                <w:ilvl w:val="0"/>
                <w:numId w:val="2"/>
              </w:numPr>
              <w:pBdr>
                <w:top w:val="nil"/>
                <w:left w:val="nil"/>
                <w:bottom w:val="nil"/>
                <w:right w:val="nil"/>
                <w:between w:val="nil"/>
              </w:pBdr>
              <w:spacing w:line="259" w:lineRule="auto"/>
              <w:ind w:left="335"/>
              <w:rPr>
                <w:rFonts w:ascii="Arial" w:eastAsia="Arial" w:hAnsi="Arial" w:cs="Arial"/>
                <w:b/>
                <w:color w:val="000000"/>
                <w:sz w:val="20"/>
                <w:szCs w:val="20"/>
              </w:rPr>
            </w:pPr>
            <w:r>
              <w:rPr>
                <w:rFonts w:ascii="Arial" w:eastAsia="Arial" w:hAnsi="Arial" w:cs="Arial"/>
                <w:color w:val="000000"/>
                <w:sz w:val="20"/>
                <w:szCs w:val="20"/>
              </w:rPr>
              <w:t>Acc</w:t>
            </w:r>
            <w:r>
              <w:rPr>
                <w:rFonts w:ascii="Arial" w:eastAsia="Arial" w:hAnsi="Arial" w:cs="Arial"/>
                <w:color w:val="000000"/>
                <w:sz w:val="20"/>
                <w:szCs w:val="20"/>
              </w:rPr>
              <w:t>ess to sources of support may be an issue, as 25% reported they had no one to talk to and only 8% reported that they would seek care from a professional counselor.</w:t>
            </w:r>
          </w:p>
        </w:tc>
      </w:tr>
      <w:tr w:rsidR="003E4C97">
        <w:tc>
          <w:tcPr>
            <w:tcW w:w="9350" w:type="dxa"/>
            <w:gridSpan w:val="3"/>
            <w:shd w:val="clear" w:color="auto" w:fill="B4C6E7"/>
          </w:tcPr>
          <w:p w:rsidR="003E4C97" w:rsidRDefault="00097237">
            <w:pPr>
              <w:jc w:val="center"/>
              <w:rPr>
                <w:rFonts w:ascii="Arial" w:eastAsia="Arial" w:hAnsi="Arial" w:cs="Arial"/>
                <w:b/>
                <w:sz w:val="20"/>
                <w:szCs w:val="20"/>
              </w:rPr>
            </w:pPr>
            <w:r>
              <w:rPr>
                <w:rFonts w:ascii="Arial" w:eastAsia="Arial" w:hAnsi="Arial" w:cs="Arial"/>
                <w:b/>
              </w:rPr>
              <w:t>Weight Status</w:t>
            </w:r>
          </w:p>
        </w:tc>
      </w:tr>
      <w:tr w:rsidR="003E4C97">
        <w:tc>
          <w:tcPr>
            <w:tcW w:w="8455" w:type="dxa"/>
            <w:gridSpan w:val="2"/>
            <w:shd w:val="clear" w:color="auto" w:fill="auto"/>
          </w:tcPr>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31% of Wood County youth were overweight or obese; 18% are obese.</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40% of all youth were trying to lose weight.</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10% of youth did not participate in any physical activity in the past week.</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Methods to lose weight or keep from gaining weight included exercising (46%), increasing water intake (46%), and eating less food/few c</w:t>
            </w:r>
            <w:r>
              <w:rPr>
                <w:rFonts w:ascii="Arial" w:eastAsia="Arial" w:hAnsi="Arial" w:cs="Arial"/>
                <w:color w:val="000000"/>
                <w:sz w:val="20"/>
                <w:szCs w:val="20"/>
              </w:rPr>
              <w:t>alories/low-fat foods (33%).</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50% of youth who were bullied at school were overweight or obese</w:t>
            </w:r>
            <w:r>
              <w:rPr>
                <w:rFonts w:ascii="Arial" w:eastAsia="Arial" w:hAnsi="Arial" w:cs="Arial"/>
                <w:sz w:val="20"/>
                <w:szCs w:val="20"/>
              </w:rPr>
              <w:t>.</w:t>
            </w:r>
          </w:p>
        </w:tc>
        <w:tc>
          <w:tcPr>
            <w:tcW w:w="895" w:type="dxa"/>
            <w:shd w:val="clear" w:color="auto" w:fill="auto"/>
          </w:tcPr>
          <w:p w:rsidR="003E4C97" w:rsidRDefault="00097237">
            <w:pPr>
              <w:rPr>
                <w:rFonts w:ascii="Arial" w:eastAsia="Arial" w:hAnsi="Arial" w:cs="Arial"/>
                <w:sz w:val="20"/>
                <w:szCs w:val="20"/>
              </w:rPr>
            </w:pPr>
            <w:r>
              <w:rPr>
                <w:rFonts w:ascii="Arial" w:eastAsia="Arial" w:hAnsi="Arial" w:cs="Arial"/>
                <w:sz w:val="20"/>
                <w:szCs w:val="20"/>
              </w:rPr>
              <w:t>p. 105</w:t>
            </w:r>
          </w:p>
          <w:p w:rsidR="003E4C97" w:rsidRDefault="00097237">
            <w:pPr>
              <w:rPr>
                <w:rFonts w:ascii="Arial" w:eastAsia="Arial" w:hAnsi="Arial" w:cs="Arial"/>
                <w:sz w:val="20"/>
                <w:szCs w:val="20"/>
              </w:rPr>
            </w:pPr>
            <w:r>
              <w:rPr>
                <w:rFonts w:ascii="Arial" w:eastAsia="Arial" w:hAnsi="Arial" w:cs="Arial"/>
                <w:sz w:val="20"/>
                <w:szCs w:val="20"/>
              </w:rPr>
              <w:t>p. 107</w:t>
            </w:r>
          </w:p>
          <w:p w:rsidR="003E4C97" w:rsidRDefault="00097237">
            <w:pPr>
              <w:rPr>
                <w:rFonts w:ascii="Arial" w:eastAsia="Arial" w:hAnsi="Arial" w:cs="Arial"/>
                <w:sz w:val="20"/>
                <w:szCs w:val="20"/>
              </w:rPr>
            </w:pPr>
            <w:r>
              <w:rPr>
                <w:rFonts w:ascii="Arial" w:eastAsia="Arial" w:hAnsi="Arial" w:cs="Arial"/>
                <w:sz w:val="20"/>
                <w:szCs w:val="20"/>
              </w:rPr>
              <w:t>p. 107</w:t>
            </w:r>
          </w:p>
          <w:p w:rsidR="003E4C97" w:rsidRDefault="00097237">
            <w:pPr>
              <w:rPr>
                <w:rFonts w:ascii="Arial" w:eastAsia="Arial" w:hAnsi="Arial" w:cs="Arial"/>
                <w:sz w:val="20"/>
                <w:szCs w:val="20"/>
              </w:rPr>
            </w:pPr>
            <w:r>
              <w:rPr>
                <w:rFonts w:ascii="Arial" w:eastAsia="Arial" w:hAnsi="Arial" w:cs="Arial"/>
                <w:sz w:val="20"/>
                <w:szCs w:val="20"/>
              </w:rPr>
              <w:t>p.107</w:t>
            </w:r>
          </w:p>
          <w:p w:rsidR="003E4C97" w:rsidRDefault="003E4C97">
            <w:pPr>
              <w:rPr>
                <w:rFonts w:ascii="Arial" w:eastAsia="Arial" w:hAnsi="Arial" w:cs="Arial"/>
                <w:sz w:val="20"/>
                <w:szCs w:val="20"/>
              </w:rPr>
            </w:pPr>
          </w:p>
          <w:p w:rsidR="003E4C97" w:rsidRDefault="00097237">
            <w:pPr>
              <w:rPr>
                <w:rFonts w:ascii="Arial" w:eastAsia="Arial" w:hAnsi="Arial" w:cs="Arial"/>
                <w:b/>
                <w:sz w:val="20"/>
                <w:szCs w:val="20"/>
              </w:rPr>
            </w:pPr>
            <w:r>
              <w:rPr>
                <w:rFonts w:ascii="Arial" w:eastAsia="Arial" w:hAnsi="Arial" w:cs="Arial"/>
                <w:sz w:val="20"/>
                <w:szCs w:val="20"/>
              </w:rPr>
              <w:t>p. 126</w:t>
            </w:r>
          </w:p>
        </w:tc>
      </w:tr>
      <w:tr w:rsidR="003E4C97">
        <w:tc>
          <w:tcPr>
            <w:tcW w:w="9350" w:type="dxa"/>
            <w:gridSpan w:val="3"/>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Implications</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Rates of obesity are slightly higher than the 2018 CHA, higher than rates in Ohio and consistent with the U.S. overall.</w:t>
            </w:r>
            <w:r>
              <w:rPr>
                <w:rFonts w:ascii="Arial" w:eastAsia="Arial" w:hAnsi="Arial" w:cs="Arial"/>
                <w:sz w:val="20"/>
                <w:szCs w:val="20"/>
              </w:rPr>
              <w:t xml:space="preserve"> O</w:t>
            </w:r>
            <w:r>
              <w:rPr>
                <w:rFonts w:ascii="Arial" w:eastAsia="Arial" w:hAnsi="Arial" w:cs="Arial"/>
                <w:color w:val="000000"/>
                <w:sz w:val="20"/>
                <w:szCs w:val="20"/>
              </w:rPr>
              <w:t xml:space="preserve">besity is associated with higher rates of comorbidities such as arthritis, diabetes, cardiovascular diseases and death. </w:t>
            </w:r>
          </w:p>
        </w:tc>
      </w:tr>
      <w:tr w:rsidR="003E4C97">
        <w:tc>
          <w:tcPr>
            <w:tcW w:w="9350" w:type="dxa"/>
            <w:gridSpan w:val="3"/>
            <w:shd w:val="clear" w:color="auto" w:fill="B4C6E7"/>
          </w:tcPr>
          <w:p w:rsidR="003E4C97" w:rsidRDefault="00097237">
            <w:pPr>
              <w:jc w:val="center"/>
              <w:rPr>
                <w:rFonts w:ascii="Arial" w:eastAsia="Arial" w:hAnsi="Arial" w:cs="Arial"/>
                <w:b/>
                <w:sz w:val="20"/>
                <w:szCs w:val="20"/>
              </w:rPr>
            </w:pPr>
            <w:r>
              <w:rPr>
                <w:rFonts w:ascii="Arial" w:eastAsia="Arial" w:hAnsi="Arial" w:cs="Arial"/>
                <w:b/>
              </w:rPr>
              <w:t>Tobacco Use</w:t>
            </w:r>
          </w:p>
        </w:tc>
      </w:tr>
      <w:tr w:rsidR="003E4C97">
        <w:tc>
          <w:tcPr>
            <w:tcW w:w="8455" w:type="dxa"/>
            <w:gridSpan w:val="2"/>
            <w:shd w:val="clear" w:color="auto" w:fill="auto"/>
          </w:tcPr>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2% of youth were current smokers; 8% of youth had tried cigarette smoking.</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Average age of onset for smoking was 12.7 years.</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14% of all those who had smoked a whole cigarette did so at 10 years old or younger, and 29% had done so by 12 years old.</w:t>
            </w:r>
          </w:p>
          <w:p w:rsidR="007A7025" w:rsidRPr="007A7025" w:rsidRDefault="00097237" w:rsidP="007A7025">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Types of tobacco used:  e-cigarettes (9%); cigarettes (4%); Swishers (3%); Others (9%).</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Youth obtained cigarettes in the following ways:</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lastRenderedPageBreak/>
              <w:t>Borrowed from someone else (71%)</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Received from someone 18 years or older (57%)</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Family member (43%)</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Bought from the stor</w:t>
            </w:r>
            <w:r>
              <w:rPr>
                <w:rFonts w:ascii="Arial" w:eastAsia="Arial" w:hAnsi="Arial" w:cs="Arial"/>
                <w:color w:val="000000"/>
                <w:sz w:val="20"/>
                <w:szCs w:val="20"/>
              </w:rPr>
              <w:t>e or vending machine (43%)</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 xml:space="preserve">41% of youth who used tobacco tried to quit using all </w:t>
            </w:r>
            <w:r>
              <w:rPr>
                <w:rFonts w:ascii="Arial" w:eastAsia="Arial" w:hAnsi="Arial" w:cs="Arial"/>
                <w:sz w:val="20"/>
                <w:szCs w:val="20"/>
              </w:rPr>
              <w:t>tobacco.</w:t>
            </w:r>
          </w:p>
        </w:tc>
        <w:tc>
          <w:tcPr>
            <w:tcW w:w="895" w:type="dxa"/>
            <w:shd w:val="clear" w:color="auto" w:fill="auto"/>
          </w:tcPr>
          <w:p w:rsidR="003E4C97" w:rsidRDefault="00097237">
            <w:pPr>
              <w:rPr>
                <w:rFonts w:ascii="Arial" w:eastAsia="Arial" w:hAnsi="Arial" w:cs="Arial"/>
                <w:sz w:val="20"/>
                <w:szCs w:val="20"/>
              </w:rPr>
            </w:pPr>
            <w:r>
              <w:rPr>
                <w:rFonts w:ascii="Arial" w:eastAsia="Arial" w:hAnsi="Arial" w:cs="Arial"/>
                <w:sz w:val="20"/>
                <w:szCs w:val="20"/>
              </w:rPr>
              <w:lastRenderedPageBreak/>
              <w:t>p. 108</w:t>
            </w:r>
          </w:p>
          <w:p w:rsidR="003E4C97" w:rsidRDefault="003E4C97">
            <w:pPr>
              <w:rPr>
                <w:rFonts w:ascii="Arial" w:eastAsia="Arial" w:hAnsi="Arial" w:cs="Arial"/>
                <w:b/>
                <w:sz w:val="20"/>
                <w:szCs w:val="20"/>
              </w:rPr>
            </w:pPr>
          </w:p>
          <w:p w:rsidR="003E4C97" w:rsidRDefault="003E4C97">
            <w:pPr>
              <w:rPr>
                <w:rFonts w:ascii="Arial" w:eastAsia="Arial" w:hAnsi="Arial" w:cs="Arial"/>
                <w:b/>
                <w:sz w:val="20"/>
                <w:szCs w:val="20"/>
              </w:rPr>
            </w:pPr>
          </w:p>
          <w:p w:rsidR="003E4C97" w:rsidRDefault="003E4C97">
            <w:pPr>
              <w:rPr>
                <w:rFonts w:ascii="Arial" w:eastAsia="Arial" w:hAnsi="Arial" w:cs="Arial"/>
                <w:b/>
                <w:sz w:val="20"/>
                <w:szCs w:val="20"/>
              </w:rPr>
            </w:pPr>
          </w:p>
          <w:p w:rsidR="003E4C97" w:rsidRDefault="00097237">
            <w:pPr>
              <w:rPr>
                <w:rFonts w:ascii="Arial" w:eastAsia="Arial" w:hAnsi="Arial" w:cs="Arial"/>
                <w:sz w:val="20"/>
                <w:szCs w:val="20"/>
              </w:rPr>
            </w:pPr>
            <w:r>
              <w:rPr>
                <w:rFonts w:ascii="Arial" w:eastAsia="Arial" w:hAnsi="Arial" w:cs="Arial"/>
                <w:sz w:val="20"/>
                <w:szCs w:val="20"/>
              </w:rPr>
              <w:t>p. 108</w:t>
            </w:r>
          </w:p>
          <w:p w:rsidR="007A7025" w:rsidRDefault="007A7025">
            <w:pPr>
              <w:rPr>
                <w:rFonts w:ascii="Arial" w:eastAsia="Arial" w:hAnsi="Arial" w:cs="Arial"/>
                <w:sz w:val="20"/>
                <w:szCs w:val="20"/>
              </w:rPr>
            </w:pPr>
          </w:p>
          <w:p w:rsidR="003E4C97" w:rsidRDefault="00097237">
            <w:pPr>
              <w:rPr>
                <w:rFonts w:ascii="Arial" w:eastAsia="Arial" w:hAnsi="Arial" w:cs="Arial"/>
                <w:sz w:val="20"/>
                <w:szCs w:val="20"/>
              </w:rPr>
            </w:pPr>
            <w:r>
              <w:rPr>
                <w:rFonts w:ascii="Arial" w:eastAsia="Arial" w:hAnsi="Arial" w:cs="Arial"/>
                <w:sz w:val="20"/>
                <w:szCs w:val="20"/>
              </w:rPr>
              <w:lastRenderedPageBreak/>
              <w:t>p. 108</w:t>
            </w: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097237">
            <w:pPr>
              <w:rPr>
                <w:rFonts w:ascii="Arial" w:eastAsia="Arial" w:hAnsi="Arial" w:cs="Arial"/>
                <w:sz w:val="20"/>
                <w:szCs w:val="20"/>
              </w:rPr>
            </w:pPr>
            <w:r>
              <w:rPr>
                <w:rFonts w:ascii="Arial" w:eastAsia="Arial" w:hAnsi="Arial" w:cs="Arial"/>
                <w:sz w:val="20"/>
                <w:szCs w:val="20"/>
              </w:rPr>
              <w:t>p. 108</w:t>
            </w:r>
          </w:p>
        </w:tc>
      </w:tr>
      <w:tr w:rsidR="003E4C97">
        <w:trPr>
          <w:trHeight w:val="4166"/>
        </w:trPr>
        <w:tc>
          <w:tcPr>
            <w:tcW w:w="9350" w:type="dxa"/>
            <w:gridSpan w:val="3"/>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lastRenderedPageBreak/>
              <w:t>Additional Analysis</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Vaping nicotine was highest in Bowling Green (4%), Perrysburg (</w:t>
            </w:r>
            <w:r>
              <w:rPr>
                <w:rFonts w:ascii="Arial" w:eastAsia="Arial" w:hAnsi="Arial" w:cs="Arial"/>
                <w:sz w:val="20"/>
                <w:szCs w:val="20"/>
              </w:rPr>
              <w:t>2</w:t>
            </w:r>
            <w:r>
              <w:rPr>
                <w:rFonts w:ascii="Arial" w:eastAsia="Arial" w:hAnsi="Arial" w:cs="Arial"/>
                <w:color w:val="000000"/>
                <w:sz w:val="20"/>
                <w:szCs w:val="20"/>
              </w:rPr>
              <w:t>%) and Pemberville (</w:t>
            </w:r>
            <w:r>
              <w:rPr>
                <w:rFonts w:ascii="Arial" w:eastAsia="Arial" w:hAnsi="Arial" w:cs="Arial"/>
                <w:sz w:val="20"/>
                <w:szCs w:val="20"/>
              </w:rPr>
              <w:t>1</w:t>
            </w:r>
            <w:r>
              <w:rPr>
                <w:rFonts w:ascii="Arial" w:eastAsia="Arial" w:hAnsi="Arial" w:cs="Arial"/>
                <w:color w:val="000000"/>
                <w:sz w:val="20"/>
                <w:szCs w:val="20"/>
              </w:rPr>
              <w:t>%).</w:t>
            </w:r>
          </w:p>
          <w:p w:rsidR="003E4C97" w:rsidRDefault="00097237">
            <w:pPr>
              <w:numPr>
                <w:ilvl w:val="1"/>
                <w:numId w:val="2"/>
              </w:numPr>
              <w:ind w:left="695"/>
              <w:rPr>
                <w:rFonts w:ascii="Arial" w:eastAsia="Arial" w:hAnsi="Arial" w:cs="Arial"/>
                <w:b/>
                <w:sz w:val="20"/>
                <w:szCs w:val="20"/>
              </w:rPr>
            </w:pPr>
            <w:r>
              <w:rPr>
                <w:rFonts w:ascii="Arial" w:eastAsia="Arial" w:hAnsi="Arial" w:cs="Arial"/>
                <w:color w:val="000000"/>
                <w:sz w:val="20"/>
                <w:szCs w:val="20"/>
              </w:rPr>
              <w:t>Vaping flavoring was highest in Perrysburg (</w:t>
            </w:r>
            <w:r>
              <w:rPr>
                <w:rFonts w:ascii="Arial" w:eastAsia="Arial" w:hAnsi="Arial" w:cs="Arial"/>
                <w:sz w:val="20"/>
                <w:szCs w:val="20"/>
              </w:rPr>
              <w:t>2</w:t>
            </w:r>
            <w:r>
              <w:rPr>
                <w:rFonts w:ascii="Arial" w:eastAsia="Arial" w:hAnsi="Arial" w:cs="Arial"/>
                <w:color w:val="000000"/>
                <w:sz w:val="20"/>
                <w:szCs w:val="20"/>
              </w:rPr>
              <w:t>%).</w:t>
            </w:r>
          </w:p>
          <w:p w:rsidR="003E4C97" w:rsidRDefault="00097237">
            <w:pPr>
              <w:numPr>
                <w:ilvl w:val="0"/>
                <w:numId w:val="2"/>
              </w:numPr>
              <w:ind w:left="335"/>
              <w:rPr>
                <w:rFonts w:ascii="Arial" w:eastAsia="Arial" w:hAnsi="Arial" w:cs="Arial"/>
                <w:sz w:val="20"/>
                <w:szCs w:val="20"/>
              </w:rPr>
            </w:pPr>
            <w:r>
              <w:rPr>
                <w:rFonts w:ascii="Arial" w:eastAsia="Arial" w:hAnsi="Arial" w:cs="Arial"/>
                <w:sz w:val="20"/>
                <w:szCs w:val="20"/>
              </w:rPr>
              <w:t>Youth who smoke experienced 3 or more ACEs, experience bullying, consider or attempt suicide and engage in high-risk behaviors.</w:t>
            </w:r>
          </w:p>
          <w:p w:rsidR="003E4C97" w:rsidRDefault="00097237">
            <w:pPr>
              <w:jc w:val="center"/>
              <w:rPr>
                <w:rFonts w:ascii="Arial" w:eastAsia="Arial" w:hAnsi="Arial" w:cs="Arial"/>
                <w:sz w:val="20"/>
                <w:szCs w:val="20"/>
              </w:rPr>
            </w:pPr>
            <w:r>
              <w:rPr>
                <w:rFonts w:ascii="Arial" w:eastAsia="Arial" w:hAnsi="Arial" w:cs="Arial"/>
                <w:i/>
                <w:noProof/>
                <w:sz w:val="20"/>
                <w:szCs w:val="20"/>
              </w:rPr>
              <w:drawing>
                <wp:inline distT="114300" distB="114300" distL="114300" distR="114300">
                  <wp:extent cx="4389786" cy="180117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l="1352" t="10383"/>
                          <a:stretch>
                            <a:fillRect/>
                          </a:stretch>
                        </pic:blipFill>
                        <pic:spPr>
                          <a:xfrm>
                            <a:off x="0" y="0"/>
                            <a:ext cx="4389786" cy="1801170"/>
                          </a:xfrm>
                          <a:prstGeom prst="rect">
                            <a:avLst/>
                          </a:prstGeom>
                          <a:ln/>
                        </pic:spPr>
                      </pic:pic>
                    </a:graphicData>
                  </a:graphic>
                </wp:inline>
              </w:drawing>
            </w:r>
          </w:p>
        </w:tc>
      </w:tr>
      <w:tr w:rsidR="003E4C97">
        <w:tc>
          <w:tcPr>
            <w:tcW w:w="9350" w:type="dxa"/>
            <w:gridSpan w:val="3"/>
            <w:shd w:val="clear" w:color="auto" w:fill="auto"/>
          </w:tcPr>
          <w:p w:rsidR="003E4C97" w:rsidRDefault="00097237">
            <w:pPr>
              <w:rPr>
                <w:rFonts w:ascii="Arial" w:eastAsia="Arial" w:hAnsi="Arial" w:cs="Arial"/>
                <w:b/>
                <w:color w:val="000000"/>
                <w:sz w:val="20"/>
                <w:szCs w:val="20"/>
              </w:rPr>
            </w:pPr>
            <w:r>
              <w:rPr>
                <w:rFonts w:ascii="Arial" w:eastAsia="Arial" w:hAnsi="Arial" w:cs="Arial"/>
                <w:b/>
                <w:color w:val="000000"/>
                <w:sz w:val="20"/>
                <w:szCs w:val="20"/>
              </w:rPr>
              <w:t>Implications</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sz w:val="20"/>
                <w:szCs w:val="20"/>
              </w:rPr>
              <w:t xml:space="preserve">The connection between smoking and ACEs, considering or attempting suicide, bullying and engaging in high-risk behaviors indicates that youth who smoke may need other types of support. </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Tobacco is a major preventable cause of disease and death in the Unite</w:t>
            </w:r>
            <w:r>
              <w:rPr>
                <w:rFonts w:ascii="Arial" w:eastAsia="Arial" w:hAnsi="Arial" w:cs="Arial"/>
                <w:color w:val="000000"/>
                <w:sz w:val="20"/>
                <w:szCs w:val="20"/>
              </w:rPr>
              <w:t xml:space="preserve">d States. </w:t>
            </w:r>
          </w:p>
          <w:p w:rsidR="003E4C97" w:rsidRDefault="00097237">
            <w:pPr>
              <w:numPr>
                <w:ilvl w:val="0"/>
                <w:numId w:val="2"/>
              </w:numPr>
              <w:ind w:left="360"/>
              <w:rPr>
                <w:rFonts w:ascii="Arial" w:eastAsia="Arial" w:hAnsi="Arial" w:cs="Arial"/>
                <w:sz w:val="20"/>
                <w:szCs w:val="20"/>
              </w:rPr>
            </w:pPr>
            <w:r>
              <w:rPr>
                <w:rFonts w:ascii="Arial" w:eastAsia="Arial" w:hAnsi="Arial" w:cs="Arial"/>
                <w:color w:val="000000"/>
                <w:sz w:val="20"/>
                <w:szCs w:val="20"/>
              </w:rPr>
              <w:t>E-cigarettes are an emerging trend and typically deliver nicotine flavorings, marijuana and other additives through inhaling aerosol. Youth who use e-cigarettes may be more likely to smoke cigarettes in the future.</w:t>
            </w:r>
          </w:p>
        </w:tc>
      </w:tr>
      <w:tr w:rsidR="003E4C97">
        <w:tc>
          <w:tcPr>
            <w:tcW w:w="9350" w:type="dxa"/>
            <w:gridSpan w:val="3"/>
            <w:shd w:val="clear" w:color="auto" w:fill="B4C6E7"/>
          </w:tcPr>
          <w:p w:rsidR="003E4C97" w:rsidRDefault="00097237">
            <w:pPr>
              <w:jc w:val="center"/>
              <w:rPr>
                <w:rFonts w:ascii="Arial" w:eastAsia="Arial" w:hAnsi="Arial" w:cs="Arial"/>
                <w:b/>
                <w:color w:val="000000"/>
                <w:sz w:val="20"/>
                <w:szCs w:val="20"/>
              </w:rPr>
            </w:pPr>
            <w:r>
              <w:rPr>
                <w:rFonts w:ascii="Arial" w:eastAsia="Arial" w:hAnsi="Arial" w:cs="Arial"/>
                <w:b/>
                <w:color w:val="000000"/>
              </w:rPr>
              <w:t>Alcohol Use</w:t>
            </w:r>
          </w:p>
        </w:tc>
      </w:tr>
      <w:tr w:rsidR="003E4C97">
        <w:tc>
          <w:tcPr>
            <w:tcW w:w="8455" w:type="dxa"/>
            <w:gridSpan w:val="2"/>
            <w:shd w:val="clear" w:color="auto" w:fill="auto"/>
          </w:tcPr>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11% of Wood County youth had at least one drink of alcohol in the past 30 days.</w:t>
            </w:r>
          </w:p>
          <w:p w:rsidR="003E4C97" w:rsidRDefault="00097237">
            <w:pPr>
              <w:numPr>
                <w:ilvl w:val="1"/>
                <w:numId w:val="2"/>
              </w:numPr>
              <w:ind w:left="785"/>
              <w:rPr>
                <w:rFonts w:ascii="Arial" w:eastAsia="Arial" w:hAnsi="Arial" w:cs="Arial"/>
                <w:sz w:val="20"/>
                <w:szCs w:val="20"/>
              </w:rPr>
            </w:pPr>
            <w:r>
              <w:rPr>
                <w:rFonts w:ascii="Arial" w:eastAsia="Arial" w:hAnsi="Arial" w:cs="Arial"/>
                <w:sz w:val="20"/>
                <w:szCs w:val="20"/>
              </w:rPr>
              <w:t>43% of youth who were current drinkers had at least an episode of binge drinking</w:t>
            </w:r>
          </w:p>
          <w:p w:rsidR="003E4C97" w:rsidRDefault="00097237">
            <w:pPr>
              <w:numPr>
                <w:ilvl w:val="0"/>
                <w:numId w:val="2"/>
              </w:numPr>
              <w:ind w:left="360"/>
              <w:rPr>
                <w:rFonts w:ascii="Arial" w:eastAsia="Arial" w:hAnsi="Arial" w:cs="Arial"/>
                <w:b/>
                <w:color w:val="000000"/>
                <w:sz w:val="20"/>
                <w:szCs w:val="20"/>
              </w:rPr>
            </w:pPr>
            <w:r>
              <w:rPr>
                <w:rFonts w:ascii="Arial" w:eastAsia="Arial" w:hAnsi="Arial" w:cs="Arial"/>
                <w:sz w:val="20"/>
                <w:szCs w:val="20"/>
              </w:rPr>
              <w:t xml:space="preserve">Wood County youth obtained alcohol in the following ways: </w:t>
            </w:r>
          </w:p>
          <w:p w:rsidR="003E4C97" w:rsidRDefault="00097237">
            <w:pPr>
              <w:numPr>
                <w:ilvl w:val="1"/>
                <w:numId w:val="2"/>
              </w:numPr>
              <w:ind w:left="785"/>
              <w:rPr>
                <w:rFonts w:ascii="Arial" w:eastAsia="Arial" w:hAnsi="Arial" w:cs="Arial"/>
                <w:b/>
                <w:color w:val="000000"/>
                <w:sz w:val="20"/>
                <w:szCs w:val="20"/>
              </w:rPr>
            </w:pPr>
            <w:r>
              <w:rPr>
                <w:rFonts w:ascii="Arial" w:eastAsia="Arial" w:hAnsi="Arial" w:cs="Arial"/>
                <w:sz w:val="20"/>
                <w:szCs w:val="20"/>
              </w:rPr>
              <w:t>From someone else (42%)</w:t>
            </w:r>
          </w:p>
          <w:p w:rsidR="003E4C97" w:rsidRDefault="00097237">
            <w:pPr>
              <w:numPr>
                <w:ilvl w:val="1"/>
                <w:numId w:val="2"/>
              </w:numPr>
              <w:ind w:left="785"/>
              <w:rPr>
                <w:rFonts w:ascii="Arial" w:eastAsia="Arial" w:hAnsi="Arial" w:cs="Arial"/>
                <w:b/>
                <w:color w:val="000000"/>
                <w:sz w:val="20"/>
                <w:szCs w:val="20"/>
              </w:rPr>
            </w:pPr>
            <w:r>
              <w:rPr>
                <w:rFonts w:ascii="Arial" w:eastAsia="Arial" w:hAnsi="Arial" w:cs="Arial"/>
                <w:sz w:val="20"/>
                <w:szCs w:val="20"/>
              </w:rPr>
              <w:t>From a store</w:t>
            </w:r>
            <w:r>
              <w:rPr>
                <w:rFonts w:ascii="Arial" w:eastAsia="Arial" w:hAnsi="Arial" w:cs="Arial"/>
                <w:sz w:val="20"/>
                <w:szCs w:val="20"/>
              </w:rPr>
              <w:t xml:space="preserve"> or family member (35%)</w:t>
            </w:r>
          </w:p>
          <w:p w:rsidR="003E4C97" w:rsidRDefault="00097237">
            <w:pPr>
              <w:numPr>
                <w:ilvl w:val="1"/>
                <w:numId w:val="2"/>
              </w:numPr>
              <w:ind w:left="785"/>
              <w:rPr>
                <w:rFonts w:ascii="Arial" w:eastAsia="Arial" w:hAnsi="Arial" w:cs="Arial"/>
                <w:b/>
                <w:color w:val="000000"/>
                <w:sz w:val="20"/>
                <w:szCs w:val="20"/>
              </w:rPr>
            </w:pPr>
            <w:r>
              <w:rPr>
                <w:rFonts w:ascii="Arial" w:eastAsia="Arial" w:hAnsi="Arial" w:cs="Arial"/>
                <w:sz w:val="20"/>
                <w:szCs w:val="20"/>
              </w:rPr>
              <w:t>Someone older bought it (32%)</w:t>
            </w:r>
          </w:p>
          <w:p w:rsidR="003E4C97" w:rsidRDefault="00097237">
            <w:pPr>
              <w:numPr>
                <w:ilvl w:val="1"/>
                <w:numId w:val="2"/>
              </w:numPr>
              <w:ind w:left="785"/>
              <w:rPr>
                <w:rFonts w:ascii="Arial" w:eastAsia="Arial" w:hAnsi="Arial" w:cs="Arial"/>
                <w:b/>
                <w:color w:val="000000"/>
                <w:sz w:val="20"/>
                <w:szCs w:val="20"/>
              </w:rPr>
            </w:pPr>
            <w:r>
              <w:rPr>
                <w:rFonts w:ascii="Arial" w:eastAsia="Arial" w:hAnsi="Arial" w:cs="Arial"/>
                <w:sz w:val="20"/>
                <w:szCs w:val="20"/>
              </w:rPr>
              <w:t>A parent (29%)</w:t>
            </w:r>
          </w:p>
          <w:p w:rsidR="003E4C97" w:rsidRDefault="00097237">
            <w:pPr>
              <w:numPr>
                <w:ilvl w:val="1"/>
                <w:numId w:val="2"/>
              </w:numPr>
              <w:ind w:left="785"/>
              <w:rPr>
                <w:rFonts w:ascii="Arial" w:eastAsia="Arial" w:hAnsi="Arial" w:cs="Arial"/>
                <w:b/>
                <w:color w:val="000000"/>
                <w:sz w:val="20"/>
                <w:szCs w:val="20"/>
              </w:rPr>
            </w:pPr>
            <w:r>
              <w:rPr>
                <w:rFonts w:ascii="Arial" w:eastAsia="Arial" w:hAnsi="Arial" w:cs="Arial"/>
                <w:sz w:val="20"/>
                <w:szCs w:val="20"/>
              </w:rPr>
              <w:t>An older friend or sibling (13%)</w:t>
            </w:r>
          </w:p>
          <w:p w:rsidR="003E4C97" w:rsidRDefault="00097237">
            <w:pPr>
              <w:numPr>
                <w:ilvl w:val="1"/>
                <w:numId w:val="2"/>
              </w:numPr>
              <w:ind w:left="785"/>
              <w:rPr>
                <w:rFonts w:ascii="Arial" w:eastAsia="Arial" w:hAnsi="Arial" w:cs="Arial"/>
                <w:b/>
                <w:color w:val="000000"/>
                <w:sz w:val="20"/>
                <w:szCs w:val="20"/>
              </w:rPr>
            </w:pPr>
            <w:r>
              <w:rPr>
                <w:rFonts w:ascii="Arial" w:eastAsia="Arial" w:hAnsi="Arial" w:cs="Arial"/>
                <w:sz w:val="20"/>
                <w:szCs w:val="20"/>
              </w:rPr>
              <w:t>A friend’s parent (13%)</w:t>
            </w:r>
          </w:p>
          <w:p w:rsidR="003E4C97" w:rsidRDefault="00097237">
            <w:pPr>
              <w:numPr>
                <w:ilvl w:val="1"/>
                <w:numId w:val="2"/>
              </w:numPr>
              <w:ind w:left="785"/>
              <w:rPr>
                <w:rFonts w:ascii="Arial" w:eastAsia="Arial" w:hAnsi="Arial" w:cs="Arial"/>
                <w:b/>
                <w:color w:val="000000"/>
                <w:sz w:val="20"/>
                <w:szCs w:val="20"/>
              </w:rPr>
            </w:pPr>
            <w:r>
              <w:rPr>
                <w:rFonts w:ascii="Arial" w:eastAsia="Arial" w:hAnsi="Arial" w:cs="Arial"/>
                <w:sz w:val="20"/>
                <w:szCs w:val="20"/>
              </w:rPr>
              <w:t>Bought it with a fake ID (8%)</w:t>
            </w:r>
          </w:p>
        </w:tc>
        <w:tc>
          <w:tcPr>
            <w:tcW w:w="895" w:type="dxa"/>
            <w:shd w:val="clear" w:color="auto" w:fill="auto"/>
          </w:tcPr>
          <w:p w:rsidR="003E4C97" w:rsidRDefault="00097237">
            <w:pPr>
              <w:rPr>
                <w:rFonts w:ascii="Arial" w:eastAsia="Arial" w:hAnsi="Arial" w:cs="Arial"/>
                <w:sz w:val="20"/>
                <w:szCs w:val="20"/>
              </w:rPr>
            </w:pPr>
            <w:r>
              <w:rPr>
                <w:rFonts w:ascii="Arial" w:eastAsia="Arial" w:hAnsi="Arial" w:cs="Arial"/>
                <w:sz w:val="20"/>
                <w:szCs w:val="20"/>
              </w:rPr>
              <w:t>p. 112</w:t>
            </w:r>
          </w:p>
          <w:p w:rsidR="003E4C97" w:rsidRDefault="003E4C97">
            <w:pPr>
              <w:rPr>
                <w:rFonts w:ascii="Arial" w:eastAsia="Arial" w:hAnsi="Arial" w:cs="Arial"/>
                <w:b/>
                <w:color w:val="000000"/>
                <w:sz w:val="20"/>
                <w:szCs w:val="20"/>
              </w:rPr>
            </w:pPr>
          </w:p>
          <w:p w:rsidR="003E4C97" w:rsidRDefault="00097237">
            <w:pPr>
              <w:rPr>
                <w:rFonts w:ascii="Arial" w:eastAsia="Arial" w:hAnsi="Arial" w:cs="Arial"/>
                <w:color w:val="000000"/>
                <w:sz w:val="20"/>
                <w:szCs w:val="20"/>
              </w:rPr>
            </w:pPr>
            <w:r>
              <w:rPr>
                <w:rFonts w:ascii="Arial" w:eastAsia="Arial" w:hAnsi="Arial" w:cs="Arial"/>
                <w:color w:val="000000"/>
                <w:sz w:val="20"/>
                <w:szCs w:val="20"/>
              </w:rPr>
              <w:t>p. 111</w:t>
            </w:r>
          </w:p>
        </w:tc>
      </w:tr>
      <w:tr w:rsidR="003E4C97">
        <w:tc>
          <w:tcPr>
            <w:tcW w:w="9350" w:type="dxa"/>
            <w:gridSpan w:val="3"/>
            <w:shd w:val="clear" w:color="auto" w:fill="auto"/>
          </w:tcPr>
          <w:p w:rsidR="007A7025" w:rsidRPr="007A7025" w:rsidRDefault="00097237">
            <w:pPr>
              <w:rPr>
                <w:rFonts w:ascii="Arial" w:eastAsia="Arial" w:hAnsi="Arial" w:cs="Arial"/>
              </w:rPr>
            </w:pPr>
            <w:r>
              <w:rPr>
                <w:rFonts w:ascii="Arial" w:eastAsia="Arial" w:hAnsi="Arial" w:cs="Arial"/>
                <w:b/>
                <w:sz w:val="20"/>
                <w:szCs w:val="20"/>
              </w:rPr>
              <w:lastRenderedPageBreak/>
              <w:t>Additional Data</w:t>
            </w:r>
            <w:r>
              <w:rPr>
                <w:rFonts w:ascii="Arial" w:eastAsia="Arial" w:hAnsi="Arial" w:cs="Arial"/>
              </w:rPr>
              <w:t xml:space="preserve"> </w:t>
            </w:r>
            <w:r w:rsidR="007A7025">
              <w:rPr>
                <w:noProof/>
              </w:rPr>
              <w:drawing>
                <wp:anchor distT="0" distB="0" distL="114300" distR="114300" simplePos="0" relativeHeight="251659264" behindDoc="0" locked="0" layoutInCell="1" hidden="0" allowOverlap="1" wp14:anchorId="5EA683DC" wp14:editId="351D83E3">
                  <wp:simplePos x="0" y="0"/>
                  <wp:positionH relativeFrom="column">
                    <wp:posOffset>-6350</wp:posOffset>
                  </wp:positionH>
                  <wp:positionV relativeFrom="paragraph">
                    <wp:posOffset>151765</wp:posOffset>
                  </wp:positionV>
                  <wp:extent cx="4366260" cy="1676400"/>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366260" cy="1676400"/>
                          </a:xfrm>
                          <a:prstGeom prst="rect">
                            <a:avLst/>
                          </a:prstGeom>
                          <a:ln/>
                        </pic:spPr>
                      </pic:pic>
                    </a:graphicData>
                  </a:graphic>
                </wp:anchor>
              </w:drawing>
            </w:r>
          </w:p>
        </w:tc>
      </w:tr>
      <w:tr w:rsidR="003E4C97">
        <w:tc>
          <w:tcPr>
            <w:tcW w:w="9350" w:type="dxa"/>
            <w:gridSpan w:val="3"/>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Implications</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 xml:space="preserve">While rates of youth alcohol consumption are lower than 2018 (15%) and well below Ohio (26%) and U.S. (29%) rates, alcohol use is connected to many chronic diseases and health conditions. </w:t>
            </w:r>
          </w:p>
          <w:p w:rsidR="003E4C97" w:rsidRDefault="00097237">
            <w:pPr>
              <w:numPr>
                <w:ilvl w:val="0"/>
                <w:numId w:val="2"/>
              </w:numPr>
              <w:ind w:left="360"/>
              <w:rPr>
                <w:rFonts w:ascii="Arial" w:eastAsia="Arial" w:hAnsi="Arial" w:cs="Arial"/>
                <w:b/>
                <w:color w:val="000000"/>
                <w:sz w:val="20"/>
                <w:szCs w:val="20"/>
              </w:rPr>
            </w:pPr>
            <w:r>
              <w:rPr>
                <w:rFonts w:ascii="Arial" w:eastAsia="Arial" w:hAnsi="Arial" w:cs="Arial"/>
                <w:sz w:val="20"/>
                <w:szCs w:val="20"/>
              </w:rPr>
              <w:t xml:space="preserve">42% of youth obtained alcohol from a parent or a friend’s parents, </w:t>
            </w:r>
            <w:r>
              <w:rPr>
                <w:rFonts w:ascii="Arial" w:eastAsia="Arial" w:hAnsi="Arial" w:cs="Arial"/>
                <w:sz w:val="20"/>
                <w:szCs w:val="20"/>
              </w:rPr>
              <w:t>suggesting that parents may need to be considered in efforts to impact youth alcohol consumption.</w:t>
            </w:r>
          </w:p>
          <w:p w:rsidR="003E4C97" w:rsidRDefault="00097237">
            <w:pPr>
              <w:numPr>
                <w:ilvl w:val="0"/>
                <w:numId w:val="2"/>
              </w:numPr>
              <w:pBdr>
                <w:top w:val="nil"/>
                <w:left w:val="nil"/>
                <w:bottom w:val="nil"/>
                <w:right w:val="nil"/>
                <w:between w:val="nil"/>
              </w:pBdr>
              <w:spacing w:line="259" w:lineRule="auto"/>
              <w:ind w:left="335"/>
              <w:rPr>
                <w:rFonts w:ascii="Arial" w:eastAsia="Arial" w:hAnsi="Arial" w:cs="Arial"/>
                <w:color w:val="000000"/>
                <w:sz w:val="20"/>
                <w:szCs w:val="20"/>
              </w:rPr>
            </w:pPr>
            <w:r>
              <w:rPr>
                <w:rFonts w:ascii="Arial" w:eastAsia="Arial" w:hAnsi="Arial" w:cs="Arial"/>
                <w:color w:val="000000"/>
                <w:sz w:val="20"/>
                <w:szCs w:val="20"/>
              </w:rPr>
              <w:t>The connection between alcohol use and ACEs suggests that youth who are drinkers may need other types of support.</w:t>
            </w:r>
          </w:p>
        </w:tc>
      </w:tr>
      <w:tr w:rsidR="003E4C97">
        <w:tc>
          <w:tcPr>
            <w:tcW w:w="9350" w:type="dxa"/>
            <w:gridSpan w:val="3"/>
            <w:shd w:val="clear" w:color="auto" w:fill="B4C6E7"/>
          </w:tcPr>
          <w:p w:rsidR="003E4C97" w:rsidRDefault="00097237">
            <w:pPr>
              <w:jc w:val="center"/>
              <w:rPr>
                <w:rFonts w:ascii="Arial" w:eastAsia="Arial" w:hAnsi="Arial" w:cs="Arial"/>
                <w:b/>
                <w:sz w:val="20"/>
                <w:szCs w:val="20"/>
              </w:rPr>
            </w:pPr>
            <w:r>
              <w:rPr>
                <w:rFonts w:ascii="Arial" w:eastAsia="Arial" w:hAnsi="Arial" w:cs="Arial"/>
                <w:b/>
              </w:rPr>
              <w:t>Drug Use</w:t>
            </w:r>
          </w:p>
        </w:tc>
      </w:tr>
      <w:tr w:rsidR="003E4C97">
        <w:tc>
          <w:tcPr>
            <w:tcW w:w="8365" w:type="dxa"/>
            <w:shd w:val="clear" w:color="auto" w:fill="auto"/>
          </w:tcPr>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5% of youth had used marijuana at least once in the past 30 days.</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3% used medications that were not prescribed for them or took more than prescribed to get high at some time in their life.</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4% were offered, sold or given an illegal drug on school property i</w:t>
            </w:r>
            <w:r>
              <w:rPr>
                <w:rFonts w:ascii="Arial" w:eastAsia="Arial" w:hAnsi="Arial" w:cs="Arial"/>
                <w:sz w:val="20"/>
                <w:szCs w:val="20"/>
              </w:rPr>
              <w:t>n the past year.</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 xml:space="preserve">Reasons reported for not seeking help for alcohol, tobacco or </w:t>
            </w:r>
            <w:proofErr w:type="gramStart"/>
            <w:r>
              <w:rPr>
                <w:rFonts w:ascii="Arial" w:eastAsia="Arial" w:hAnsi="Arial" w:cs="Arial"/>
                <w:sz w:val="20"/>
                <w:szCs w:val="20"/>
              </w:rPr>
              <w:t>other</w:t>
            </w:r>
            <w:proofErr w:type="gramEnd"/>
            <w:r>
              <w:rPr>
                <w:rFonts w:ascii="Arial" w:eastAsia="Arial" w:hAnsi="Arial" w:cs="Arial"/>
                <w:sz w:val="20"/>
                <w:szCs w:val="20"/>
              </w:rPr>
              <w:t xml:space="preserve"> drug use: </w:t>
            </w:r>
          </w:p>
          <w:p w:rsidR="003E4C97" w:rsidRDefault="00097237">
            <w:pPr>
              <w:numPr>
                <w:ilvl w:val="1"/>
                <w:numId w:val="2"/>
              </w:numPr>
              <w:ind w:left="695"/>
              <w:rPr>
                <w:rFonts w:ascii="Arial" w:eastAsia="Arial" w:hAnsi="Arial" w:cs="Arial"/>
                <w:sz w:val="20"/>
                <w:szCs w:val="20"/>
              </w:rPr>
            </w:pPr>
            <w:r>
              <w:rPr>
                <w:rFonts w:ascii="Arial" w:eastAsia="Arial" w:hAnsi="Arial" w:cs="Arial"/>
                <w:sz w:val="20"/>
                <w:szCs w:val="20"/>
              </w:rPr>
              <w:t>Possibility of getting in trouble (26%)</w:t>
            </w:r>
          </w:p>
          <w:p w:rsidR="003E4C97" w:rsidRDefault="00097237">
            <w:pPr>
              <w:numPr>
                <w:ilvl w:val="1"/>
                <w:numId w:val="2"/>
              </w:numPr>
              <w:ind w:left="695"/>
              <w:rPr>
                <w:rFonts w:ascii="Arial" w:eastAsia="Arial" w:hAnsi="Arial" w:cs="Arial"/>
                <w:sz w:val="20"/>
                <w:szCs w:val="20"/>
              </w:rPr>
            </w:pPr>
            <w:r>
              <w:rPr>
                <w:rFonts w:ascii="Arial" w:eastAsia="Arial" w:hAnsi="Arial" w:cs="Arial"/>
                <w:sz w:val="20"/>
                <w:szCs w:val="20"/>
              </w:rPr>
              <w:t>Not knowing where to go (12%)</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74% of youth reported they did not think they needed help.</w:t>
            </w:r>
          </w:p>
        </w:tc>
        <w:tc>
          <w:tcPr>
            <w:tcW w:w="985" w:type="dxa"/>
            <w:gridSpan w:val="2"/>
            <w:shd w:val="clear" w:color="auto" w:fill="auto"/>
          </w:tcPr>
          <w:p w:rsidR="003E4C97" w:rsidRDefault="00097237">
            <w:pPr>
              <w:rPr>
                <w:rFonts w:ascii="Arial" w:eastAsia="Arial" w:hAnsi="Arial" w:cs="Arial"/>
                <w:sz w:val="20"/>
                <w:szCs w:val="20"/>
              </w:rPr>
            </w:pPr>
            <w:r>
              <w:rPr>
                <w:rFonts w:ascii="Arial" w:eastAsia="Arial" w:hAnsi="Arial" w:cs="Arial"/>
                <w:sz w:val="20"/>
                <w:szCs w:val="20"/>
              </w:rPr>
              <w:t>p. 115</w:t>
            </w:r>
          </w:p>
          <w:p w:rsidR="003E4C97" w:rsidRDefault="00097237">
            <w:pPr>
              <w:rPr>
                <w:rFonts w:ascii="Arial" w:eastAsia="Arial" w:hAnsi="Arial" w:cs="Arial"/>
                <w:sz w:val="20"/>
                <w:szCs w:val="20"/>
              </w:rPr>
            </w:pPr>
            <w:r>
              <w:rPr>
                <w:rFonts w:ascii="Arial" w:eastAsia="Arial" w:hAnsi="Arial" w:cs="Arial"/>
                <w:sz w:val="20"/>
                <w:szCs w:val="20"/>
              </w:rPr>
              <w:t>p. 115</w:t>
            </w:r>
          </w:p>
          <w:p w:rsidR="003E4C97" w:rsidRDefault="003E4C97">
            <w:pPr>
              <w:rPr>
                <w:rFonts w:ascii="Arial" w:eastAsia="Arial" w:hAnsi="Arial" w:cs="Arial"/>
                <w:sz w:val="20"/>
                <w:szCs w:val="20"/>
              </w:rPr>
            </w:pPr>
          </w:p>
          <w:p w:rsidR="003E4C97" w:rsidRDefault="00097237">
            <w:pPr>
              <w:rPr>
                <w:rFonts w:ascii="Arial" w:eastAsia="Arial" w:hAnsi="Arial" w:cs="Arial"/>
                <w:sz w:val="20"/>
                <w:szCs w:val="20"/>
              </w:rPr>
            </w:pPr>
            <w:r>
              <w:rPr>
                <w:rFonts w:ascii="Arial" w:eastAsia="Arial" w:hAnsi="Arial" w:cs="Arial"/>
                <w:sz w:val="20"/>
                <w:szCs w:val="20"/>
              </w:rPr>
              <w:t>p. 115</w:t>
            </w:r>
          </w:p>
          <w:p w:rsidR="003E4C97" w:rsidRDefault="00097237">
            <w:pPr>
              <w:rPr>
                <w:rFonts w:ascii="Arial" w:eastAsia="Arial" w:hAnsi="Arial" w:cs="Arial"/>
                <w:sz w:val="20"/>
                <w:szCs w:val="20"/>
              </w:rPr>
            </w:pPr>
            <w:r>
              <w:rPr>
                <w:rFonts w:ascii="Arial" w:eastAsia="Arial" w:hAnsi="Arial" w:cs="Arial"/>
                <w:sz w:val="20"/>
                <w:szCs w:val="20"/>
              </w:rPr>
              <w:t>p. 115</w:t>
            </w:r>
          </w:p>
          <w:p w:rsidR="003E4C97" w:rsidRDefault="003E4C97">
            <w:pPr>
              <w:rPr>
                <w:rFonts w:ascii="Arial" w:eastAsia="Arial" w:hAnsi="Arial" w:cs="Arial"/>
                <w:sz w:val="20"/>
                <w:szCs w:val="20"/>
              </w:rPr>
            </w:pPr>
          </w:p>
        </w:tc>
      </w:tr>
      <w:tr w:rsidR="003E4C97">
        <w:tc>
          <w:tcPr>
            <w:tcW w:w="9350" w:type="dxa"/>
            <w:gridSpan w:val="3"/>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Additional Analysis</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Vaping marijuana was highest in Bowling Green (3%), Perrysburg (1%) and Northwood (1%).</w:t>
            </w:r>
          </w:p>
        </w:tc>
      </w:tr>
      <w:tr w:rsidR="003E4C97">
        <w:tc>
          <w:tcPr>
            <w:tcW w:w="9350" w:type="dxa"/>
            <w:gridSpan w:val="3"/>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Implications</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 xml:space="preserve">While the rate of youth marijuana use is lower than 2018 (5% vs 9%) and well below Ohio and U.S. rates, marijuana use is associated with an increased risk of depression and suicide.  </w:t>
            </w:r>
          </w:p>
          <w:p w:rsidR="003E4C97" w:rsidRDefault="00097237">
            <w:pPr>
              <w:numPr>
                <w:ilvl w:val="0"/>
                <w:numId w:val="2"/>
              </w:numPr>
              <w:ind w:left="360"/>
              <w:rPr>
                <w:rFonts w:ascii="Arial" w:eastAsia="Arial" w:hAnsi="Arial" w:cs="Arial"/>
                <w:sz w:val="20"/>
                <w:szCs w:val="20"/>
              </w:rPr>
            </w:pPr>
            <w:r>
              <w:rPr>
                <w:rFonts w:ascii="Arial" w:eastAsia="Arial" w:hAnsi="Arial" w:cs="Arial"/>
                <w:color w:val="000000"/>
                <w:sz w:val="20"/>
                <w:szCs w:val="20"/>
              </w:rPr>
              <w:t>The connection between marijuana use and ACEs suggests that youth who us</w:t>
            </w:r>
            <w:r>
              <w:rPr>
                <w:rFonts w:ascii="Arial" w:eastAsia="Arial" w:hAnsi="Arial" w:cs="Arial"/>
                <w:color w:val="000000"/>
                <w:sz w:val="20"/>
                <w:szCs w:val="20"/>
              </w:rPr>
              <w:t>e marijuana may need other types of support.</w:t>
            </w:r>
          </w:p>
        </w:tc>
      </w:tr>
      <w:tr w:rsidR="003E4C97">
        <w:tc>
          <w:tcPr>
            <w:tcW w:w="9350" w:type="dxa"/>
            <w:gridSpan w:val="3"/>
            <w:shd w:val="clear" w:color="auto" w:fill="B4C6E7"/>
          </w:tcPr>
          <w:p w:rsidR="003E4C97" w:rsidRDefault="00097237">
            <w:pPr>
              <w:jc w:val="center"/>
              <w:rPr>
                <w:rFonts w:ascii="Arial" w:eastAsia="Arial" w:hAnsi="Arial" w:cs="Arial"/>
                <w:b/>
                <w:sz w:val="20"/>
                <w:szCs w:val="20"/>
              </w:rPr>
            </w:pPr>
            <w:r>
              <w:rPr>
                <w:rFonts w:ascii="Arial" w:eastAsia="Arial" w:hAnsi="Arial" w:cs="Arial"/>
                <w:b/>
              </w:rPr>
              <w:t>Youth Violence and Bullying</w:t>
            </w:r>
          </w:p>
        </w:tc>
      </w:tr>
      <w:tr w:rsidR="003E4C97">
        <w:tc>
          <w:tcPr>
            <w:tcW w:w="8365" w:type="dxa"/>
            <w:shd w:val="clear" w:color="auto" w:fill="auto"/>
          </w:tcPr>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30% of youth had been bullied in the past year.</w:t>
            </w:r>
          </w:p>
          <w:p w:rsidR="003E4C97" w:rsidRDefault="00097237">
            <w:pPr>
              <w:numPr>
                <w:ilvl w:val="1"/>
                <w:numId w:val="2"/>
              </w:numPr>
              <w:ind w:left="695"/>
              <w:rPr>
                <w:rFonts w:ascii="Arial" w:eastAsia="Arial" w:hAnsi="Arial" w:cs="Arial"/>
                <w:sz w:val="20"/>
                <w:szCs w:val="20"/>
              </w:rPr>
            </w:pPr>
            <w:r>
              <w:rPr>
                <w:rFonts w:ascii="Arial" w:eastAsia="Arial" w:hAnsi="Arial" w:cs="Arial"/>
                <w:sz w:val="20"/>
                <w:szCs w:val="20"/>
              </w:rPr>
              <w:t>21% were verbally bullied.</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Females had a higher rate of experiencing bullying (38%) compared to males (18%).</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8% (1 in 12) of youth carried a weapon (such as a gun, knife or club) in the past month.</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15% of youth had been involved in a physical fight.</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5% of youth had been hit, slapped or physically hurt by an adult in the past month.</w:t>
            </w:r>
          </w:p>
        </w:tc>
        <w:tc>
          <w:tcPr>
            <w:tcW w:w="985" w:type="dxa"/>
            <w:gridSpan w:val="2"/>
            <w:shd w:val="clear" w:color="auto" w:fill="auto"/>
          </w:tcPr>
          <w:p w:rsidR="003E4C97" w:rsidRDefault="00097237">
            <w:pPr>
              <w:rPr>
                <w:rFonts w:ascii="Arial" w:eastAsia="Arial" w:hAnsi="Arial" w:cs="Arial"/>
                <w:b/>
                <w:sz w:val="20"/>
                <w:szCs w:val="20"/>
              </w:rPr>
            </w:pPr>
            <w:r>
              <w:rPr>
                <w:rFonts w:ascii="Arial" w:eastAsia="Arial" w:hAnsi="Arial" w:cs="Arial"/>
                <w:sz w:val="20"/>
                <w:szCs w:val="20"/>
              </w:rPr>
              <w:t>p. 125</w:t>
            </w:r>
          </w:p>
        </w:tc>
      </w:tr>
      <w:tr w:rsidR="003E4C97">
        <w:tc>
          <w:tcPr>
            <w:tcW w:w="9350" w:type="dxa"/>
            <w:gridSpan w:val="3"/>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Additional Analysis</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You</w:t>
            </w:r>
            <w:r>
              <w:rPr>
                <w:rFonts w:ascii="Arial" w:eastAsia="Arial" w:hAnsi="Arial" w:cs="Arial"/>
                <w:sz w:val="20"/>
                <w:szCs w:val="20"/>
              </w:rPr>
              <w:t>th who reported being bullied also vaped nicotine (15%), flavoring (14%), marijuana (12%).</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13% of youth who reported being bullied also carried weapons.</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88% of 11th graders were bullied in the past year.</w:t>
            </w:r>
          </w:p>
          <w:p w:rsidR="003E4C97" w:rsidRDefault="00097237">
            <w:pPr>
              <w:numPr>
                <w:ilvl w:val="0"/>
                <w:numId w:val="2"/>
              </w:numPr>
              <w:ind w:left="360"/>
              <w:rPr>
                <w:rFonts w:ascii="Arial" w:eastAsia="Arial" w:hAnsi="Arial" w:cs="Arial"/>
                <w:b/>
                <w:sz w:val="20"/>
                <w:szCs w:val="20"/>
              </w:rPr>
            </w:pPr>
            <w:r>
              <w:rPr>
                <w:rFonts w:ascii="Arial" w:eastAsia="Arial" w:hAnsi="Arial" w:cs="Arial"/>
                <w:sz w:val="20"/>
                <w:szCs w:val="20"/>
              </w:rPr>
              <w:t>Those who reported being bullied and carried a weapo</w:t>
            </w:r>
            <w:r>
              <w:rPr>
                <w:rFonts w:ascii="Arial" w:eastAsia="Arial" w:hAnsi="Arial" w:cs="Arial"/>
                <w:sz w:val="20"/>
                <w:szCs w:val="20"/>
              </w:rPr>
              <w:t xml:space="preserve">n lived in Bowling Green and Rossford (29%) and </w:t>
            </w:r>
            <w:proofErr w:type="spellStart"/>
            <w:r>
              <w:rPr>
                <w:rFonts w:ascii="Arial" w:eastAsia="Arial" w:hAnsi="Arial" w:cs="Arial"/>
                <w:sz w:val="20"/>
                <w:szCs w:val="20"/>
              </w:rPr>
              <w:t>Luckey</w:t>
            </w:r>
            <w:proofErr w:type="spellEnd"/>
            <w:r>
              <w:rPr>
                <w:rFonts w:ascii="Arial" w:eastAsia="Arial" w:hAnsi="Arial" w:cs="Arial"/>
                <w:sz w:val="20"/>
                <w:szCs w:val="20"/>
              </w:rPr>
              <w:t>, Weston and North Baltimore (14%).</w:t>
            </w:r>
          </w:p>
          <w:p w:rsidR="007A7025" w:rsidRDefault="007A7025">
            <w:pPr>
              <w:jc w:val="center"/>
              <w:rPr>
                <w:rFonts w:ascii="Arial" w:eastAsia="Arial" w:hAnsi="Arial" w:cs="Arial"/>
                <w:b/>
                <w:sz w:val="20"/>
                <w:szCs w:val="20"/>
              </w:rPr>
            </w:pPr>
          </w:p>
          <w:p w:rsidR="007A7025" w:rsidRDefault="007A7025" w:rsidP="007A7025">
            <w:pPr>
              <w:rPr>
                <w:rFonts w:ascii="Arial" w:eastAsia="Arial" w:hAnsi="Arial" w:cs="Arial"/>
                <w:b/>
                <w:sz w:val="20"/>
                <w:szCs w:val="20"/>
              </w:rPr>
            </w:pPr>
          </w:p>
          <w:p w:rsidR="007A7025" w:rsidRDefault="007A7025" w:rsidP="007A7025">
            <w:pPr>
              <w:rPr>
                <w:rFonts w:ascii="Arial" w:eastAsia="Arial" w:hAnsi="Arial" w:cs="Arial"/>
                <w:b/>
                <w:sz w:val="20"/>
                <w:szCs w:val="20"/>
              </w:rPr>
            </w:pPr>
            <w:r>
              <w:rPr>
                <w:rFonts w:ascii="Arial" w:eastAsia="Arial" w:hAnsi="Arial" w:cs="Arial"/>
                <w:b/>
                <w:sz w:val="20"/>
                <w:szCs w:val="20"/>
              </w:rPr>
              <w:lastRenderedPageBreak/>
              <w:t>Additional Data</w:t>
            </w:r>
          </w:p>
          <w:p w:rsidR="003E4C97" w:rsidRDefault="00097237">
            <w:pPr>
              <w:jc w:val="center"/>
              <w:rPr>
                <w:rFonts w:ascii="Arial" w:eastAsia="Arial" w:hAnsi="Arial" w:cs="Arial"/>
                <w:b/>
                <w:sz w:val="20"/>
                <w:szCs w:val="20"/>
              </w:rPr>
            </w:pPr>
            <w:r>
              <w:rPr>
                <w:rFonts w:ascii="Arial" w:eastAsia="Arial" w:hAnsi="Arial" w:cs="Arial"/>
                <w:noProof/>
              </w:rPr>
              <w:drawing>
                <wp:inline distT="0" distB="0" distL="0" distR="0">
                  <wp:extent cx="4132308" cy="2025068"/>
                  <wp:effectExtent l="0" t="0" r="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t="1358"/>
                          <a:stretch>
                            <a:fillRect/>
                          </a:stretch>
                        </pic:blipFill>
                        <pic:spPr>
                          <a:xfrm>
                            <a:off x="0" y="0"/>
                            <a:ext cx="4132308" cy="2025068"/>
                          </a:xfrm>
                          <a:prstGeom prst="rect">
                            <a:avLst/>
                          </a:prstGeom>
                          <a:ln/>
                        </pic:spPr>
                      </pic:pic>
                    </a:graphicData>
                  </a:graphic>
                </wp:inline>
              </w:drawing>
            </w:r>
          </w:p>
        </w:tc>
      </w:tr>
      <w:tr w:rsidR="003E4C97">
        <w:tc>
          <w:tcPr>
            <w:tcW w:w="9350" w:type="dxa"/>
            <w:gridSpan w:val="3"/>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lastRenderedPageBreak/>
              <w:t>Implications</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Youth who reported being bullied experience higher rates of depression, and more likely to consider or attempt suicide. They are also more likely to engage in risky behaviors such as smoking and drug use, suggesting that mental health and other types of su</w:t>
            </w:r>
            <w:r>
              <w:rPr>
                <w:rFonts w:ascii="Arial" w:eastAsia="Arial" w:hAnsi="Arial" w:cs="Arial"/>
                <w:sz w:val="20"/>
                <w:szCs w:val="20"/>
              </w:rPr>
              <w:t>pport may lead to health improvements across many areas for youth who experience bullying.</w:t>
            </w:r>
          </w:p>
        </w:tc>
      </w:tr>
      <w:tr w:rsidR="003E4C97">
        <w:tc>
          <w:tcPr>
            <w:tcW w:w="9350" w:type="dxa"/>
            <w:gridSpan w:val="3"/>
            <w:shd w:val="clear" w:color="auto" w:fill="B4C6E7"/>
          </w:tcPr>
          <w:p w:rsidR="003E4C97" w:rsidRDefault="00097237">
            <w:pPr>
              <w:jc w:val="center"/>
              <w:rPr>
                <w:rFonts w:ascii="Arial" w:eastAsia="Arial" w:hAnsi="Arial" w:cs="Arial"/>
                <w:b/>
                <w:sz w:val="20"/>
                <w:szCs w:val="20"/>
              </w:rPr>
            </w:pPr>
            <w:r>
              <w:rPr>
                <w:rFonts w:ascii="Arial" w:eastAsia="Arial" w:hAnsi="Arial" w:cs="Arial"/>
                <w:b/>
              </w:rPr>
              <w:t>Adverse Childhood Events</w:t>
            </w:r>
          </w:p>
        </w:tc>
      </w:tr>
      <w:tr w:rsidR="003E4C97">
        <w:tc>
          <w:tcPr>
            <w:tcW w:w="8455" w:type="dxa"/>
            <w:gridSpan w:val="2"/>
            <w:shd w:val="clear" w:color="auto" w:fill="auto"/>
          </w:tcPr>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19% of youth experienced three or more ACEs in their life.</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 xml:space="preserve">42% of youth who were bullied experienced 3 or more ACEs in their life. </w:t>
            </w:r>
          </w:p>
          <w:p w:rsidR="003E4C97" w:rsidRDefault="00097237">
            <w:pPr>
              <w:numPr>
                <w:ilvl w:val="0"/>
                <w:numId w:val="2"/>
              </w:numPr>
              <w:ind w:left="360"/>
              <w:rPr>
                <w:rFonts w:ascii="Arial" w:eastAsia="Arial" w:hAnsi="Arial" w:cs="Arial"/>
                <w:sz w:val="20"/>
                <w:szCs w:val="20"/>
              </w:rPr>
            </w:pPr>
            <w:r>
              <w:rPr>
                <w:rFonts w:ascii="Arial" w:eastAsia="Arial" w:hAnsi="Arial" w:cs="Arial"/>
                <w:sz w:val="20"/>
                <w:szCs w:val="20"/>
              </w:rPr>
              <w:t>83% of youth who were current smokers were most likely to experience 3 or more ACEs</w:t>
            </w:r>
          </w:p>
        </w:tc>
        <w:tc>
          <w:tcPr>
            <w:tcW w:w="895" w:type="dxa"/>
            <w:shd w:val="clear" w:color="auto" w:fill="auto"/>
          </w:tcPr>
          <w:p w:rsidR="003E4C97" w:rsidRDefault="00097237">
            <w:pPr>
              <w:rPr>
                <w:rFonts w:ascii="Arial" w:eastAsia="Arial" w:hAnsi="Arial" w:cs="Arial"/>
                <w:sz w:val="20"/>
                <w:szCs w:val="20"/>
              </w:rPr>
            </w:pPr>
            <w:r>
              <w:rPr>
                <w:rFonts w:ascii="Arial" w:eastAsia="Arial" w:hAnsi="Arial" w:cs="Arial"/>
                <w:sz w:val="20"/>
                <w:szCs w:val="20"/>
              </w:rPr>
              <w:t>p. 29</w:t>
            </w:r>
          </w:p>
          <w:p w:rsidR="003E4C97" w:rsidRDefault="00097237">
            <w:pPr>
              <w:rPr>
                <w:rFonts w:ascii="Arial" w:eastAsia="Arial" w:hAnsi="Arial" w:cs="Arial"/>
                <w:sz w:val="20"/>
                <w:szCs w:val="20"/>
              </w:rPr>
            </w:pPr>
            <w:r>
              <w:rPr>
                <w:rFonts w:ascii="Arial" w:eastAsia="Arial" w:hAnsi="Arial" w:cs="Arial"/>
                <w:sz w:val="20"/>
                <w:szCs w:val="20"/>
              </w:rPr>
              <w:t>p. 126</w:t>
            </w:r>
          </w:p>
          <w:p w:rsidR="003E4C97" w:rsidRDefault="00097237">
            <w:pPr>
              <w:rPr>
                <w:rFonts w:ascii="Arial" w:eastAsia="Arial" w:hAnsi="Arial" w:cs="Arial"/>
                <w:b/>
                <w:sz w:val="20"/>
                <w:szCs w:val="20"/>
              </w:rPr>
            </w:pPr>
            <w:r>
              <w:rPr>
                <w:rFonts w:ascii="Arial" w:eastAsia="Arial" w:hAnsi="Arial" w:cs="Arial"/>
                <w:sz w:val="20"/>
                <w:szCs w:val="20"/>
              </w:rPr>
              <w:t xml:space="preserve">p. 109 </w:t>
            </w:r>
          </w:p>
        </w:tc>
      </w:tr>
      <w:tr w:rsidR="003E4C97">
        <w:tc>
          <w:tcPr>
            <w:tcW w:w="9350" w:type="dxa"/>
            <w:gridSpan w:val="3"/>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Implications</w:t>
            </w:r>
          </w:p>
          <w:p w:rsidR="003E4C97" w:rsidRDefault="00097237">
            <w:pPr>
              <w:rPr>
                <w:rFonts w:ascii="Arial" w:eastAsia="Arial" w:hAnsi="Arial" w:cs="Arial"/>
                <w:b/>
                <w:sz w:val="20"/>
                <w:szCs w:val="20"/>
              </w:rPr>
            </w:pPr>
            <w:r>
              <w:rPr>
                <w:rFonts w:ascii="Arial" w:eastAsia="Arial" w:hAnsi="Arial" w:cs="Arial"/>
                <w:sz w:val="20"/>
                <w:szCs w:val="20"/>
              </w:rPr>
              <w:t>ACES can lead to poorer health outcomes including obesity, depression, and alcoholism. The greater the number of ACEs, the greater the risk for negative outcomes.</w:t>
            </w:r>
          </w:p>
        </w:tc>
      </w:tr>
    </w:tbl>
    <w:p w:rsidR="007A7025" w:rsidRDefault="007A7025">
      <w:r>
        <w:br w:type="page"/>
      </w:r>
    </w:p>
    <w:tbl>
      <w:tblPr>
        <w:tblStyle w:val="a8"/>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455"/>
        <w:gridCol w:w="895"/>
      </w:tblGrid>
      <w:tr w:rsidR="003E4C97">
        <w:tc>
          <w:tcPr>
            <w:tcW w:w="9350" w:type="dxa"/>
            <w:gridSpan w:val="2"/>
            <w:shd w:val="clear" w:color="auto" w:fill="002060"/>
          </w:tcPr>
          <w:p w:rsidR="003E4C97" w:rsidRDefault="00097237">
            <w:pPr>
              <w:jc w:val="center"/>
              <w:rPr>
                <w:rFonts w:ascii="Arial" w:eastAsia="Arial" w:hAnsi="Arial" w:cs="Arial"/>
                <w:b/>
                <w:color w:val="FFFFFF"/>
              </w:rPr>
            </w:pPr>
            <w:r>
              <w:rPr>
                <w:rFonts w:ascii="Arial" w:eastAsia="Arial" w:hAnsi="Arial" w:cs="Arial"/>
                <w:b/>
                <w:color w:val="FFFFFF"/>
                <w:sz w:val="28"/>
                <w:szCs w:val="28"/>
              </w:rPr>
              <w:lastRenderedPageBreak/>
              <w:t>Child Data</w:t>
            </w:r>
          </w:p>
        </w:tc>
      </w:tr>
      <w:tr w:rsidR="003E4C97">
        <w:tc>
          <w:tcPr>
            <w:tcW w:w="9350" w:type="dxa"/>
            <w:gridSpan w:val="2"/>
            <w:shd w:val="clear" w:color="auto" w:fill="B4C6E7"/>
          </w:tcPr>
          <w:p w:rsidR="003E4C97" w:rsidRDefault="00097237">
            <w:pPr>
              <w:jc w:val="center"/>
              <w:rPr>
                <w:rFonts w:ascii="Arial" w:eastAsia="Arial" w:hAnsi="Arial" w:cs="Arial"/>
                <w:b/>
              </w:rPr>
            </w:pPr>
            <w:r>
              <w:rPr>
                <w:rFonts w:ascii="Arial" w:eastAsia="Arial" w:hAnsi="Arial" w:cs="Arial"/>
                <w:b/>
              </w:rPr>
              <w:t>Mental Health</w:t>
            </w:r>
          </w:p>
        </w:tc>
      </w:tr>
      <w:tr w:rsidR="003E4C97">
        <w:tc>
          <w:tcPr>
            <w:tcW w:w="8455" w:type="dxa"/>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Findings</w:t>
            </w:r>
          </w:p>
        </w:tc>
        <w:tc>
          <w:tcPr>
            <w:tcW w:w="895" w:type="dxa"/>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Source</w:t>
            </w:r>
          </w:p>
        </w:tc>
      </w:tr>
      <w:tr w:rsidR="003E4C97">
        <w:tc>
          <w:tcPr>
            <w:tcW w:w="8455" w:type="dxa"/>
            <w:shd w:val="clear" w:color="auto" w:fill="auto"/>
          </w:tcPr>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Parents reported their children took medication for the following conditions:</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Attention deficit disorder or attention deficit hyperactivity disorder (78%)</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Depression (57%)</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Anxiety problems (25%)</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8% of parents reported their child needed counseling in the past year; 3% reported their child needed psychiatry.</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30% of parents reported their child was bullied in the past year.</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24% were verbally bullied (teased, taunted or called harmful names)</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11% were</w:t>
            </w:r>
            <w:r>
              <w:rPr>
                <w:rFonts w:ascii="Arial" w:eastAsia="Arial" w:hAnsi="Arial" w:cs="Arial"/>
                <w:sz w:val="20"/>
                <w:szCs w:val="20"/>
              </w:rPr>
              <w:t xml:space="preserve"> indirectly bullied (spread mean rumors about them or kept out of a “group”)</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4% were physically bullied (hit, kicked, punched or people took their belongings)</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2% were cyberbullied (teased, taunted, or threatened by email or cell phone)</w:t>
            </w:r>
          </w:p>
          <w:p w:rsidR="003E4C97" w:rsidRDefault="00097237">
            <w:pPr>
              <w:numPr>
                <w:ilvl w:val="1"/>
                <w:numId w:val="14"/>
              </w:numPr>
              <w:ind w:left="695"/>
              <w:rPr>
                <w:rFonts w:ascii="Arial" w:eastAsia="Arial" w:hAnsi="Arial" w:cs="Arial"/>
                <w:sz w:val="20"/>
                <w:szCs w:val="20"/>
              </w:rPr>
            </w:pPr>
            <w:r>
              <w:rPr>
                <w:rFonts w:ascii="Arial" w:eastAsia="Arial" w:hAnsi="Arial" w:cs="Arial"/>
                <w:sz w:val="20"/>
                <w:szCs w:val="20"/>
              </w:rPr>
              <w:t>No child was sexuall</w:t>
            </w:r>
            <w:r>
              <w:rPr>
                <w:rFonts w:ascii="Arial" w:eastAsia="Arial" w:hAnsi="Arial" w:cs="Arial"/>
                <w:sz w:val="20"/>
                <w:szCs w:val="20"/>
              </w:rPr>
              <w:t>y bullied (using nude or semi-nude pictures to blackmail, intimidate, or exploit, or to pressure someone to have sex who does not want to)</w:t>
            </w:r>
          </w:p>
        </w:tc>
        <w:tc>
          <w:tcPr>
            <w:tcW w:w="895" w:type="dxa"/>
            <w:shd w:val="clear" w:color="auto" w:fill="auto"/>
          </w:tcPr>
          <w:p w:rsidR="003E4C97" w:rsidRDefault="00097237">
            <w:pPr>
              <w:rPr>
                <w:rFonts w:ascii="Arial" w:eastAsia="Arial" w:hAnsi="Arial" w:cs="Arial"/>
                <w:sz w:val="20"/>
                <w:szCs w:val="20"/>
              </w:rPr>
            </w:pPr>
            <w:r>
              <w:rPr>
                <w:rFonts w:ascii="Arial" w:eastAsia="Arial" w:hAnsi="Arial" w:cs="Arial"/>
                <w:sz w:val="20"/>
                <w:szCs w:val="20"/>
              </w:rPr>
              <w:t>p.129</w:t>
            </w: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097237">
            <w:pPr>
              <w:rPr>
                <w:rFonts w:ascii="Arial" w:eastAsia="Arial" w:hAnsi="Arial" w:cs="Arial"/>
                <w:sz w:val="20"/>
                <w:szCs w:val="20"/>
              </w:rPr>
            </w:pPr>
            <w:r>
              <w:rPr>
                <w:rFonts w:ascii="Arial" w:eastAsia="Arial" w:hAnsi="Arial" w:cs="Arial"/>
                <w:sz w:val="20"/>
                <w:szCs w:val="20"/>
              </w:rPr>
              <w:t>p. 133</w:t>
            </w:r>
          </w:p>
          <w:p w:rsidR="003E4C97" w:rsidRDefault="00097237">
            <w:pPr>
              <w:rPr>
                <w:rFonts w:ascii="Arial" w:eastAsia="Arial" w:hAnsi="Arial" w:cs="Arial"/>
                <w:sz w:val="20"/>
                <w:szCs w:val="20"/>
              </w:rPr>
            </w:pPr>
            <w:r>
              <w:rPr>
                <w:rFonts w:ascii="Arial" w:eastAsia="Arial" w:hAnsi="Arial" w:cs="Arial"/>
                <w:sz w:val="20"/>
                <w:szCs w:val="20"/>
              </w:rPr>
              <w:t>p. 136</w:t>
            </w:r>
          </w:p>
          <w:p w:rsidR="003E4C97" w:rsidRDefault="003E4C97">
            <w:pPr>
              <w:rPr>
                <w:rFonts w:ascii="Arial" w:eastAsia="Arial" w:hAnsi="Arial" w:cs="Arial"/>
                <w:sz w:val="20"/>
                <w:szCs w:val="20"/>
              </w:rPr>
            </w:pPr>
          </w:p>
          <w:p w:rsidR="003E4C97" w:rsidRDefault="003E4C97">
            <w:pPr>
              <w:rPr>
                <w:rFonts w:ascii="Arial" w:eastAsia="Arial" w:hAnsi="Arial" w:cs="Arial"/>
                <w:sz w:val="20"/>
                <w:szCs w:val="20"/>
              </w:rPr>
            </w:pPr>
          </w:p>
          <w:p w:rsidR="003E4C97" w:rsidRDefault="003E4C97">
            <w:pPr>
              <w:rPr>
                <w:rFonts w:ascii="Arial" w:eastAsia="Arial" w:hAnsi="Arial" w:cs="Arial"/>
                <w:b/>
                <w:sz w:val="20"/>
                <w:szCs w:val="20"/>
              </w:rPr>
            </w:pPr>
          </w:p>
        </w:tc>
      </w:tr>
      <w:tr w:rsidR="003E4C97">
        <w:tc>
          <w:tcPr>
            <w:tcW w:w="9350" w:type="dxa"/>
            <w:gridSpan w:val="2"/>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Additional Analysis</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 xml:space="preserve">Rates of child bullying are consistent with youth bullying rates. </w:t>
            </w:r>
          </w:p>
          <w:p w:rsidR="003E4C97" w:rsidRDefault="00097237">
            <w:pPr>
              <w:numPr>
                <w:ilvl w:val="0"/>
                <w:numId w:val="2"/>
              </w:numPr>
              <w:ind w:left="360"/>
              <w:rPr>
                <w:rFonts w:ascii="Arial" w:eastAsia="Arial" w:hAnsi="Arial" w:cs="Arial"/>
                <w:color w:val="000000"/>
                <w:sz w:val="20"/>
                <w:szCs w:val="20"/>
              </w:rPr>
            </w:pPr>
            <w:r>
              <w:rPr>
                <w:rFonts w:ascii="Arial" w:eastAsia="Arial" w:hAnsi="Arial" w:cs="Arial"/>
                <w:color w:val="000000"/>
                <w:sz w:val="20"/>
                <w:szCs w:val="20"/>
              </w:rPr>
              <w:t>In the 2018 CHA, parents reported their child took prescription medications for the following conditions: attention deficit disorder or attention deficit hyperactivity disorder (85%), depression (50%) and anxiety problems (25%).</w:t>
            </w:r>
          </w:p>
        </w:tc>
      </w:tr>
      <w:tr w:rsidR="003E4C97">
        <w:tc>
          <w:tcPr>
            <w:tcW w:w="9350" w:type="dxa"/>
            <w:gridSpan w:val="2"/>
            <w:shd w:val="clear" w:color="auto" w:fill="auto"/>
          </w:tcPr>
          <w:p w:rsidR="003E4C97" w:rsidRDefault="00097237">
            <w:pPr>
              <w:rPr>
                <w:rFonts w:ascii="Arial" w:eastAsia="Arial" w:hAnsi="Arial" w:cs="Arial"/>
                <w:sz w:val="20"/>
                <w:szCs w:val="20"/>
              </w:rPr>
            </w:pPr>
            <w:r>
              <w:rPr>
                <w:rFonts w:ascii="Arial" w:eastAsia="Arial" w:hAnsi="Arial" w:cs="Arial"/>
                <w:sz w:val="20"/>
                <w:szCs w:val="20"/>
              </w:rPr>
              <w:t>I</w:t>
            </w:r>
            <w:r>
              <w:rPr>
                <w:rFonts w:ascii="Arial" w:eastAsia="Arial" w:hAnsi="Arial" w:cs="Arial"/>
                <w:b/>
                <w:sz w:val="20"/>
                <w:szCs w:val="20"/>
              </w:rPr>
              <w:t>mplications</w:t>
            </w:r>
          </w:p>
          <w:p w:rsidR="003E4C97" w:rsidRDefault="00097237">
            <w:pPr>
              <w:numPr>
                <w:ilvl w:val="0"/>
                <w:numId w:val="2"/>
              </w:numPr>
              <w:pBdr>
                <w:top w:val="nil"/>
                <w:left w:val="nil"/>
                <w:bottom w:val="nil"/>
                <w:right w:val="nil"/>
                <w:between w:val="nil"/>
              </w:pBdr>
              <w:spacing w:line="259" w:lineRule="auto"/>
              <w:ind w:left="335"/>
              <w:rPr>
                <w:rFonts w:ascii="Arial" w:eastAsia="Arial" w:hAnsi="Arial" w:cs="Arial"/>
                <w:color w:val="000000"/>
                <w:sz w:val="20"/>
                <w:szCs w:val="20"/>
              </w:rPr>
            </w:pPr>
            <w:r>
              <w:rPr>
                <w:rFonts w:ascii="Arial" w:eastAsia="Arial" w:hAnsi="Arial" w:cs="Arial"/>
                <w:color w:val="000000"/>
                <w:sz w:val="20"/>
                <w:szCs w:val="20"/>
              </w:rPr>
              <w:t xml:space="preserve">While comparisons to state and national data are not available, prescription medication prescribed for children suggest rates of depression and anxiety comparable to that of youth and adults. </w:t>
            </w:r>
          </w:p>
          <w:p w:rsidR="003E4C97" w:rsidRDefault="00097237">
            <w:pPr>
              <w:numPr>
                <w:ilvl w:val="0"/>
                <w:numId w:val="2"/>
              </w:numPr>
              <w:pBdr>
                <w:top w:val="nil"/>
                <w:left w:val="nil"/>
                <w:bottom w:val="nil"/>
                <w:right w:val="nil"/>
                <w:between w:val="nil"/>
              </w:pBdr>
              <w:spacing w:line="259" w:lineRule="auto"/>
              <w:ind w:left="335"/>
              <w:rPr>
                <w:rFonts w:ascii="Arial" w:eastAsia="Arial" w:hAnsi="Arial" w:cs="Arial"/>
                <w:color w:val="000000"/>
                <w:sz w:val="20"/>
                <w:szCs w:val="20"/>
              </w:rPr>
            </w:pPr>
            <w:r>
              <w:rPr>
                <w:rFonts w:ascii="Arial" w:eastAsia="Arial" w:hAnsi="Arial" w:cs="Arial"/>
                <w:color w:val="000000"/>
                <w:sz w:val="20"/>
                <w:szCs w:val="20"/>
              </w:rPr>
              <w:t>Since bullying rates are similar for children and youth, impact</w:t>
            </w:r>
            <w:r>
              <w:rPr>
                <w:rFonts w:ascii="Arial" w:eastAsia="Arial" w:hAnsi="Arial" w:cs="Arial"/>
                <w:color w:val="000000"/>
                <w:sz w:val="20"/>
                <w:szCs w:val="20"/>
              </w:rPr>
              <w:t>s to younger children may be comparable to those of youth.</w:t>
            </w:r>
          </w:p>
        </w:tc>
      </w:tr>
      <w:tr w:rsidR="003E4C97">
        <w:tc>
          <w:tcPr>
            <w:tcW w:w="9350" w:type="dxa"/>
            <w:gridSpan w:val="2"/>
            <w:shd w:val="clear" w:color="auto" w:fill="B4C6E7"/>
          </w:tcPr>
          <w:p w:rsidR="003E4C97" w:rsidRDefault="00097237">
            <w:pPr>
              <w:jc w:val="center"/>
              <w:rPr>
                <w:rFonts w:ascii="Arial" w:eastAsia="Arial" w:hAnsi="Arial" w:cs="Arial"/>
                <w:b/>
                <w:sz w:val="20"/>
                <w:szCs w:val="20"/>
              </w:rPr>
            </w:pPr>
            <w:r>
              <w:rPr>
                <w:rFonts w:ascii="Arial" w:eastAsia="Arial" w:hAnsi="Arial" w:cs="Arial"/>
                <w:b/>
              </w:rPr>
              <w:t>Weight Status</w:t>
            </w:r>
          </w:p>
        </w:tc>
      </w:tr>
      <w:tr w:rsidR="003E4C97">
        <w:tc>
          <w:tcPr>
            <w:tcW w:w="8455" w:type="dxa"/>
            <w:shd w:val="clear" w:color="auto" w:fill="auto"/>
          </w:tcPr>
          <w:p w:rsidR="003E4C97" w:rsidRDefault="00097237">
            <w:pPr>
              <w:numPr>
                <w:ilvl w:val="0"/>
                <w:numId w:val="2"/>
              </w:numPr>
              <w:ind w:left="335"/>
              <w:rPr>
                <w:rFonts w:ascii="Arial" w:eastAsia="Arial" w:hAnsi="Arial" w:cs="Arial"/>
                <w:color w:val="000000"/>
                <w:sz w:val="20"/>
                <w:szCs w:val="20"/>
              </w:rPr>
            </w:pPr>
            <w:r>
              <w:rPr>
                <w:rFonts w:ascii="Arial" w:eastAsia="Arial" w:hAnsi="Arial" w:cs="Arial"/>
                <w:color w:val="000000"/>
                <w:sz w:val="20"/>
                <w:szCs w:val="20"/>
              </w:rPr>
              <w:t>More than 21% of children were classified as obese by Body Mass Index calculation.</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12% were overweight, 59% were normal weight, and 8% were underweight.</w:t>
            </w:r>
          </w:p>
        </w:tc>
        <w:tc>
          <w:tcPr>
            <w:tcW w:w="895" w:type="dxa"/>
            <w:shd w:val="clear" w:color="auto" w:fill="auto"/>
          </w:tcPr>
          <w:p w:rsidR="003E4C97" w:rsidRDefault="00097237">
            <w:pPr>
              <w:rPr>
                <w:rFonts w:ascii="Arial" w:eastAsia="Arial" w:hAnsi="Arial" w:cs="Arial"/>
                <w:sz w:val="20"/>
                <w:szCs w:val="20"/>
              </w:rPr>
            </w:pPr>
            <w:r>
              <w:rPr>
                <w:rFonts w:ascii="Arial" w:eastAsia="Arial" w:hAnsi="Arial" w:cs="Arial"/>
                <w:sz w:val="20"/>
                <w:szCs w:val="20"/>
              </w:rPr>
              <w:t>p. 134</w:t>
            </w:r>
          </w:p>
        </w:tc>
      </w:tr>
      <w:tr w:rsidR="003E4C97">
        <w:tc>
          <w:tcPr>
            <w:tcW w:w="9350" w:type="dxa"/>
            <w:gridSpan w:val="2"/>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Implications</w:t>
            </w:r>
          </w:p>
          <w:p w:rsidR="003E4C97" w:rsidRDefault="00097237">
            <w:pPr>
              <w:numPr>
                <w:ilvl w:val="0"/>
                <w:numId w:val="2"/>
              </w:numPr>
              <w:ind w:left="335"/>
              <w:rPr>
                <w:rFonts w:ascii="Arial" w:eastAsia="Arial" w:hAnsi="Arial" w:cs="Arial"/>
                <w:color w:val="000000"/>
                <w:sz w:val="20"/>
                <w:szCs w:val="20"/>
              </w:rPr>
            </w:pPr>
            <w:r>
              <w:rPr>
                <w:rFonts w:ascii="Arial" w:eastAsia="Arial" w:hAnsi="Arial" w:cs="Arial"/>
                <w:color w:val="000000"/>
                <w:sz w:val="20"/>
                <w:szCs w:val="20"/>
              </w:rPr>
              <w:t xml:space="preserve">Obese, overweight and underweight children are at higher risks </w:t>
            </w:r>
            <w:r>
              <w:rPr>
                <w:rFonts w:ascii="Arial" w:eastAsia="Arial" w:hAnsi="Arial" w:cs="Arial"/>
                <w:sz w:val="20"/>
                <w:szCs w:val="20"/>
              </w:rPr>
              <w:t>for</w:t>
            </w:r>
            <w:r>
              <w:rPr>
                <w:rFonts w:ascii="Arial" w:eastAsia="Arial" w:hAnsi="Arial" w:cs="Arial"/>
                <w:color w:val="000000"/>
                <w:sz w:val="20"/>
                <w:szCs w:val="20"/>
              </w:rPr>
              <w:t xml:space="preserve"> various health conditions. </w:t>
            </w:r>
          </w:p>
          <w:p w:rsidR="003E4C97" w:rsidRDefault="00097237">
            <w:pPr>
              <w:numPr>
                <w:ilvl w:val="0"/>
                <w:numId w:val="2"/>
              </w:numPr>
              <w:ind w:left="335"/>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Educating parents on healthy living for</w:t>
            </w:r>
            <w:r w:rsidR="00BA219A">
              <w:rPr>
                <w:rFonts w:ascii="Arial" w:eastAsia="Arial" w:hAnsi="Arial" w:cs="Arial"/>
                <w:color w:val="000000"/>
                <w:sz w:val="20"/>
                <w:szCs w:val="20"/>
              </w:rPr>
              <w:t xml:space="preserve"> </w:t>
            </w:r>
            <w:r>
              <w:rPr>
                <w:rFonts w:ascii="Arial" w:eastAsia="Arial" w:hAnsi="Arial" w:cs="Arial"/>
                <w:color w:val="000000"/>
                <w:sz w:val="20"/>
                <w:szCs w:val="20"/>
              </w:rPr>
              <w:t xml:space="preserve">children </w:t>
            </w:r>
            <w:r w:rsidR="00BA219A">
              <w:rPr>
                <w:rFonts w:ascii="Arial" w:eastAsia="Arial" w:hAnsi="Arial" w:cs="Arial"/>
                <w:color w:val="000000"/>
                <w:sz w:val="20"/>
                <w:szCs w:val="20"/>
              </w:rPr>
              <w:t xml:space="preserve">may </w:t>
            </w:r>
            <w:r>
              <w:rPr>
                <w:rFonts w:ascii="Arial" w:eastAsia="Arial" w:hAnsi="Arial" w:cs="Arial"/>
                <w:color w:val="000000"/>
                <w:sz w:val="20"/>
                <w:szCs w:val="20"/>
              </w:rPr>
              <w:t>address</w:t>
            </w:r>
            <w:r>
              <w:rPr>
                <w:rFonts w:ascii="Arial" w:eastAsia="Arial" w:hAnsi="Arial" w:cs="Arial"/>
                <w:color w:val="000000"/>
                <w:sz w:val="20"/>
                <w:szCs w:val="20"/>
              </w:rPr>
              <w:t xml:space="preserve"> under</w:t>
            </w:r>
            <w:r w:rsidR="007A7025">
              <w:rPr>
                <w:rFonts w:ascii="Arial" w:eastAsia="Arial" w:hAnsi="Arial" w:cs="Arial"/>
                <w:color w:val="000000"/>
                <w:sz w:val="20"/>
                <w:szCs w:val="20"/>
              </w:rPr>
              <w:t>-</w:t>
            </w:r>
            <w:r>
              <w:rPr>
                <w:rFonts w:ascii="Arial" w:eastAsia="Arial" w:hAnsi="Arial" w:cs="Arial"/>
                <w:color w:val="000000"/>
                <w:sz w:val="20"/>
                <w:szCs w:val="20"/>
              </w:rPr>
              <w:t xml:space="preserve"> and over</w:t>
            </w:r>
            <w:r>
              <w:rPr>
                <w:rFonts w:ascii="Arial" w:eastAsia="Arial" w:hAnsi="Arial" w:cs="Arial"/>
                <w:color w:val="000000"/>
                <w:sz w:val="20"/>
                <w:szCs w:val="20"/>
              </w:rPr>
              <w:t xml:space="preserve">weight </w:t>
            </w:r>
            <w:r>
              <w:rPr>
                <w:rFonts w:ascii="Arial" w:eastAsia="Arial" w:hAnsi="Arial" w:cs="Arial"/>
                <w:sz w:val="20"/>
                <w:szCs w:val="20"/>
              </w:rPr>
              <w:t>conditions</w:t>
            </w:r>
            <w:r>
              <w:rPr>
                <w:rFonts w:ascii="Arial" w:eastAsia="Arial" w:hAnsi="Arial" w:cs="Arial"/>
                <w:color w:val="000000"/>
                <w:sz w:val="20"/>
                <w:szCs w:val="20"/>
              </w:rPr>
              <w:t>.</w:t>
            </w:r>
          </w:p>
        </w:tc>
      </w:tr>
    </w:tbl>
    <w:tbl>
      <w:tblPr>
        <w:tblStyle w:val="a9"/>
        <w:tblW w:w="935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8455"/>
        <w:gridCol w:w="895"/>
      </w:tblGrid>
      <w:tr w:rsidR="003E4C97">
        <w:tc>
          <w:tcPr>
            <w:tcW w:w="9350" w:type="dxa"/>
            <w:gridSpan w:val="2"/>
            <w:shd w:val="clear" w:color="auto" w:fill="B4C6E7"/>
          </w:tcPr>
          <w:p w:rsidR="003E4C97" w:rsidRDefault="00097237">
            <w:pPr>
              <w:jc w:val="center"/>
              <w:rPr>
                <w:rFonts w:ascii="Arial" w:eastAsia="Arial" w:hAnsi="Arial" w:cs="Arial"/>
                <w:b/>
                <w:sz w:val="20"/>
                <w:szCs w:val="20"/>
              </w:rPr>
            </w:pPr>
            <w:r>
              <w:rPr>
                <w:rFonts w:ascii="Arial" w:eastAsia="Arial" w:hAnsi="Arial" w:cs="Arial"/>
                <w:b/>
              </w:rPr>
              <w:t>ACEs</w:t>
            </w:r>
          </w:p>
        </w:tc>
      </w:tr>
      <w:tr w:rsidR="003E4C97">
        <w:tc>
          <w:tcPr>
            <w:tcW w:w="8455" w:type="dxa"/>
            <w:shd w:val="clear" w:color="auto" w:fill="auto"/>
          </w:tcPr>
          <w:p w:rsidR="003E4C97" w:rsidRDefault="00097237">
            <w:pPr>
              <w:numPr>
                <w:ilvl w:val="0"/>
                <w:numId w:val="2"/>
              </w:numPr>
              <w:ind w:left="335"/>
              <w:rPr>
                <w:rFonts w:ascii="Arial" w:eastAsia="Arial" w:hAnsi="Arial" w:cs="Arial"/>
                <w:color w:val="000000"/>
                <w:sz w:val="20"/>
                <w:szCs w:val="20"/>
              </w:rPr>
            </w:pPr>
            <w:r>
              <w:rPr>
                <w:rFonts w:ascii="Arial" w:eastAsia="Arial" w:hAnsi="Arial" w:cs="Arial"/>
                <w:color w:val="000000"/>
                <w:sz w:val="20"/>
                <w:szCs w:val="20"/>
              </w:rPr>
              <w:t xml:space="preserve">Parents reported their child ever experienced the following (ACEs): </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Parents became separated or were divorced (13%)</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Lived with someone who was mentally ill, suicidal, or severely depressed (5%)</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Lived with someone who had a problem with alcohol or drugs (3</w:t>
            </w:r>
            <w:r>
              <w:rPr>
                <w:rFonts w:ascii="Arial" w:eastAsia="Arial" w:hAnsi="Arial" w:cs="Arial"/>
                <w:color w:val="000000"/>
                <w:sz w:val="20"/>
                <w:szCs w:val="20"/>
              </w:rPr>
              <w:t>%)</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Lived with a parent/guardian who served time in jail (2%)</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Saw or heard any parents or adults in their home physically hurt each other (1%)</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Parent/guardian who died (1%)</w:t>
            </w:r>
          </w:p>
          <w:p w:rsidR="003E4C97" w:rsidRDefault="00097237">
            <w:pPr>
              <w:numPr>
                <w:ilvl w:val="1"/>
                <w:numId w:val="2"/>
              </w:numPr>
              <w:ind w:left="695"/>
              <w:rPr>
                <w:rFonts w:ascii="Arial" w:eastAsia="Arial" w:hAnsi="Arial" w:cs="Arial"/>
                <w:color w:val="000000"/>
                <w:sz w:val="20"/>
                <w:szCs w:val="20"/>
              </w:rPr>
            </w:pPr>
            <w:r>
              <w:rPr>
                <w:rFonts w:ascii="Arial" w:eastAsia="Arial" w:hAnsi="Arial" w:cs="Arial"/>
                <w:color w:val="000000"/>
                <w:sz w:val="20"/>
                <w:szCs w:val="20"/>
              </w:rPr>
              <w:t>Had been the victim of violence or witnessed violence in their neighborhood (&lt;1%)</w:t>
            </w:r>
          </w:p>
        </w:tc>
        <w:tc>
          <w:tcPr>
            <w:tcW w:w="895" w:type="dxa"/>
            <w:shd w:val="clear" w:color="auto" w:fill="auto"/>
          </w:tcPr>
          <w:p w:rsidR="003E4C97" w:rsidRDefault="00097237">
            <w:pPr>
              <w:rPr>
                <w:rFonts w:ascii="Arial" w:eastAsia="Arial" w:hAnsi="Arial" w:cs="Arial"/>
                <w:sz w:val="20"/>
                <w:szCs w:val="20"/>
              </w:rPr>
            </w:pPr>
            <w:r>
              <w:rPr>
                <w:rFonts w:ascii="Arial" w:eastAsia="Arial" w:hAnsi="Arial" w:cs="Arial"/>
                <w:sz w:val="20"/>
                <w:szCs w:val="20"/>
              </w:rPr>
              <w:t>p. 138</w:t>
            </w:r>
          </w:p>
          <w:p w:rsidR="003E4C97" w:rsidRDefault="003E4C97">
            <w:pPr>
              <w:rPr>
                <w:rFonts w:ascii="Arial" w:eastAsia="Arial" w:hAnsi="Arial" w:cs="Arial"/>
                <w:sz w:val="20"/>
                <w:szCs w:val="20"/>
              </w:rPr>
            </w:pPr>
          </w:p>
        </w:tc>
      </w:tr>
      <w:tr w:rsidR="003E4C97">
        <w:tc>
          <w:tcPr>
            <w:tcW w:w="9350" w:type="dxa"/>
            <w:gridSpan w:val="2"/>
            <w:shd w:val="clear" w:color="auto" w:fill="auto"/>
          </w:tcPr>
          <w:p w:rsidR="003E4C97" w:rsidRDefault="00097237">
            <w:pPr>
              <w:rPr>
                <w:rFonts w:ascii="Arial" w:eastAsia="Arial" w:hAnsi="Arial" w:cs="Arial"/>
                <w:b/>
                <w:sz w:val="20"/>
                <w:szCs w:val="20"/>
              </w:rPr>
            </w:pPr>
            <w:r>
              <w:rPr>
                <w:rFonts w:ascii="Arial" w:eastAsia="Arial" w:hAnsi="Arial" w:cs="Arial"/>
                <w:b/>
                <w:sz w:val="20"/>
                <w:szCs w:val="20"/>
              </w:rPr>
              <w:t xml:space="preserve">Implications </w:t>
            </w:r>
          </w:p>
          <w:p w:rsidR="003E4C97" w:rsidRDefault="00097237">
            <w:pPr>
              <w:numPr>
                <w:ilvl w:val="0"/>
                <w:numId w:val="10"/>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 xml:space="preserve">Youth data indicates additional risk from experiencing multiple ACEs. ACEs can lead to poorer health outcomes including obesity, depression and alcoholism. The effects of </w:t>
            </w:r>
            <w:r>
              <w:rPr>
                <w:rFonts w:ascii="Arial" w:eastAsia="Arial" w:hAnsi="Arial" w:cs="Arial"/>
                <w:sz w:val="20"/>
                <w:szCs w:val="20"/>
              </w:rPr>
              <w:t>ACE</w:t>
            </w:r>
            <w:r>
              <w:rPr>
                <w:rFonts w:ascii="Arial" w:eastAsia="Arial" w:hAnsi="Arial" w:cs="Arial"/>
                <w:color w:val="000000"/>
                <w:sz w:val="20"/>
                <w:szCs w:val="20"/>
              </w:rPr>
              <w:t>s can accumulate overtime, impacting the child through adul</w:t>
            </w:r>
            <w:r>
              <w:rPr>
                <w:rFonts w:ascii="Arial" w:eastAsia="Arial" w:hAnsi="Arial" w:cs="Arial"/>
                <w:color w:val="000000"/>
                <w:sz w:val="20"/>
                <w:szCs w:val="20"/>
              </w:rPr>
              <w:t xml:space="preserve">thood. </w:t>
            </w:r>
          </w:p>
          <w:p w:rsidR="003E4C97" w:rsidRDefault="00097237">
            <w:pPr>
              <w:numPr>
                <w:ilvl w:val="0"/>
                <w:numId w:val="10"/>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The greater the number of ACEs, the greater the risk for negative health outcomes. Educating parents about ACEs and their impacts on children may be helpful.</w:t>
            </w:r>
          </w:p>
        </w:tc>
      </w:tr>
    </w:tbl>
    <w:p w:rsidR="003E4C97" w:rsidRDefault="003E4C97">
      <w:pPr>
        <w:rPr>
          <w:rFonts w:ascii="Arial" w:eastAsia="Arial" w:hAnsi="Arial" w:cs="Arial"/>
        </w:rPr>
      </w:pPr>
    </w:p>
    <w:p w:rsidR="00BA219A" w:rsidRDefault="00BA219A" w:rsidP="00BA219A">
      <w:pPr>
        <w:jc w:val="center"/>
        <w:rPr>
          <w:rFonts w:ascii="Arial" w:eastAsia="Arial" w:hAnsi="Arial" w:cs="Arial"/>
          <w:b/>
          <w:sz w:val="24"/>
          <w:szCs w:val="24"/>
          <w:u w:val="single"/>
        </w:rPr>
      </w:pPr>
      <w:r>
        <w:rPr>
          <w:rFonts w:ascii="Arial" w:eastAsia="Arial" w:hAnsi="Arial" w:cs="Arial"/>
          <w:b/>
          <w:sz w:val="24"/>
          <w:szCs w:val="24"/>
          <w:u w:val="single"/>
        </w:rPr>
        <w:t>Demographics</w:t>
      </w:r>
    </w:p>
    <w:p w:rsidR="00BA219A" w:rsidRDefault="00BA219A">
      <w:pPr>
        <w:rPr>
          <w:rFonts w:ascii="Arial" w:eastAsia="Arial" w:hAnsi="Arial" w:cs="Arial"/>
          <w:b/>
          <w:sz w:val="24"/>
          <w:szCs w:val="24"/>
          <w:u w:val="single"/>
        </w:rPr>
      </w:pPr>
      <w:r w:rsidRPr="00BA219A">
        <w:drawing>
          <wp:inline distT="0" distB="0" distL="0" distR="0">
            <wp:extent cx="5943600" cy="716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162800"/>
                    </a:xfrm>
                    <a:prstGeom prst="rect">
                      <a:avLst/>
                    </a:prstGeom>
                    <a:noFill/>
                    <a:ln>
                      <a:noFill/>
                    </a:ln>
                  </pic:spPr>
                </pic:pic>
              </a:graphicData>
            </a:graphic>
          </wp:inline>
        </w:drawing>
      </w:r>
    </w:p>
    <w:p w:rsidR="00BA219A" w:rsidRDefault="00BA219A">
      <w:pPr>
        <w:rPr>
          <w:rFonts w:ascii="Arial" w:eastAsia="Arial" w:hAnsi="Arial" w:cs="Arial"/>
          <w:b/>
          <w:sz w:val="24"/>
          <w:szCs w:val="24"/>
          <w:u w:val="single"/>
        </w:rPr>
      </w:pPr>
    </w:p>
    <w:p w:rsidR="003E4C97" w:rsidRDefault="00097237" w:rsidP="00BA219A">
      <w:pPr>
        <w:jc w:val="center"/>
        <w:rPr>
          <w:rFonts w:ascii="Arial" w:eastAsia="Arial" w:hAnsi="Arial" w:cs="Arial"/>
          <w:b/>
          <w:sz w:val="24"/>
          <w:szCs w:val="24"/>
          <w:u w:val="single"/>
        </w:rPr>
      </w:pPr>
      <w:r>
        <w:rPr>
          <w:rFonts w:ascii="Arial" w:eastAsia="Arial" w:hAnsi="Arial" w:cs="Arial"/>
          <w:b/>
          <w:sz w:val="24"/>
          <w:szCs w:val="24"/>
          <w:u w:val="single"/>
        </w:rPr>
        <w:lastRenderedPageBreak/>
        <w:t>Appendix</w:t>
      </w:r>
    </w:p>
    <w:p w:rsidR="003E4C97" w:rsidRDefault="00097237">
      <w:pPr>
        <w:spacing w:after="0"/>
        <w:rPr>
          <w:rFonts w:ascii="Arial" w:eastAsia="Arial" w:hAnsi="Arial" w:cs="Arial"/>
          <w:sz w:val="20"/>
          <w:szCs w:val="20"/>
        </w:rPr>
      </w:pPr>
      <w:r>
        <w:rPr>
          <w:rFonts w:ascii="Arial" w:eastAsia="Arial" w:hAnsi="Arial" w:cs="Arial"/>
          <w:b/>
          <w:sz w:val="20"/>
          <w:szCs w:val="20"/>
        </w:rPr>
        <w:t>Adverse Childhood Experiences (ACEs):</w:t>
      </w:r>
      <w:r>
        <w:rPr>
          <w:rFonts w:ascii="Arial" w:eastAsia="Arial" w:hAnsi="Arial" w:cs="Arial"/>
          <w:sz w:val="20"/>
          <w:szCs w:val="20"/>
        </w:rPr>
        <w:t xml:space="preserve"> Potentially traumatic events that occur in childhood (0-17 years) and aspects of the child’s environment that can undermine their sense of safety, stability, and bonding. </w:t>
      </w:r>
    </w:p>
    <w:p w:rsidR="003E4C97" w:rsidRDefault="00097237">
      <w:pPr>
        <w:numPr>
          <w:ilvl w:val="0"/>
          <w:numId w:val="16"/>
        </w:numPr>
        <w:spacing w:after="0"/>
        <w:rPr>
          <w:rFonts w:ascii="Arial" w:eastAsia="Arial" w:hAnsi="Arial" w:cs="Arial"/>
          <w:sz w:val="20"/>
          <w:szCs w:val="20"/>
        </w:rPr>
      </w:pPr>
      <w:bookmarkStart w:id="2" w:name="_heading=h.d708tdtfast6" w:colFirst="0" w:colLast="0"/>
      <w:bookmarkEnd w:id="2"/>
      <w:r>
        <w:rPr>
          <w:rFonts w:ascii="Arial" w:eastAsia="Arial" w:hAnsi="Arial" w:cs="Arial"/>
          <w:sz w:val="20"/>
          <w:szCs w:val="20"/>
        </w:rPr>
        <w:t>Examples: Experiencing physical, emotional or sexual abuse or neglect, witnessing v</w:t>
      </w:r>
      <w:r>
        <w:rPr>
          <w:rFonts w:ascii="Arial" w:eastAsia="Arial" w:hAnsi="Arial" w:cs="Arial"/>
          <w:sz w:val="20"/>
          <w:szCs w:val="20"/>
        </w:rPr>
        <w:t>iolence in the home or community, having a family member attempt or die by suicide, growing up in a household with substance use problems, mental health problems, instability due to parental separation or divorce, or household members being in jail or pris</w:t>
      </w:r>
      <w:r>
        <w:rPr>
          <w:rFonts w:ascii="Arial" w:eastAsia="Arial" w:hAnsi="Arial" w:cs="Arial"/>
          <w:sz w:val="20"/>
          <w:szCs w:val="20"/>
        </w:rPr>
        <w:t xml:space="preserve">on. </w:t>
      </w:r>
    </w:p>
    <w:p w:rsidR="003E4C97" w:rsidRDefault="00097237">
      <w:pPr>
        <w:numPr>
          <w:ilvl w:val="0"/>
          <w:numId w:val="16"/>
        </w:numPr>
        <w:spacing w:after="0"/>
        <w:rPr>
          <w:rFonts w:ascii="Arial" w:eastAsia="Arial" w:hAnsi="Arial" w:cs="Arial"/>
          <w:sz w:val="20"/>
          <w:szCs w:val="20"/>
        </w:rPr>
      </w:pPr>
      <w:bookmarkStart w:id="3" w:name="_heading=h.sj2icah7sn2k" w:colFirst="0" w:colLast="0"/>
      <w:bookmarkEnd w:id="3"/>
      <w:r>
        <w:rPr>
          <w:rFonts w:ascii="Arial" w:eastAsia="Arial" w:hAnsi="Arial" w:cs="Arial"/>
          <w:sz w:val="20"/>
          <w:szCs w:val="20"/>
        </w:rPr>
        <w:t>Some children are at greater risk than others: women and several racial/ethnic minority groups were at greater risk for having experienced 4 or more types of ACEs.</w:t>
      </w:r>
    </w:p>
    <w:p w:rsidR="003E4C97" w:rsidRDefault="00097237">
      <w:pPr>
        <w:numPr>
          <w:ilvl w:val="0"/>
          <w:numId w:val="16"/>
        </w:numPr>
        <w:spacing w:after="0"/>
        <w:rPr>
          <w:rFonts w:ascii="Arial" w:eastAsia="Arial" w:hAnsi="Arial" w:cs="Arial"/>
          <w:sz w:val="20"/>
          <w:szCs w:val="20"/>
        </w:rPr>
      </w:pPr>
      <w:bookmarkStart w:id="4" w:name="_heading=h.rwrdip2ydzir" w:colFirst="0" w:colLast="0"/>
      <w:bookmarkEnd w:id="4"/>
      <w:r>
        <w:rPr>
          <w:rFonts w:ascii="Arial" w:eastAsia="Arial" w:hAnsi="Arial" w:cs="Arial"/>
          <w:sz w:val="20"/>
          <w:szCs w:val="20"/>
        </w:rPr>
        <w:t xml:space="preserve">ACES are linked to chronic health problems, mental illness, and substance use problems </w:t>
      </w:r>
      <w:r>
        <w:rPr>
          <w:rFonts w:ascii="Arial" w:eastAsia="Arial" w:hAnsi="Arial" w:cs="Arial"/>
          <w:sz w:val="20"/>
          <w:szCs w:val="20"/>
        </w:rPr>
        <w:t>in adulthood. ACEs can also negatively impact education, job opportunities and earning potential. (</w:t>
      </w:r>
      <w:hyperlink r:id="rId13">
        <w:r>
          <w:rPr>
            <w:rFonts w:ascii="Arial" w:eastAsia="Arial" w:hAnsi="Arial" w:cs="Arial"/>
            <w:color w:val="1155CC"/>
            <w:sz w:val="20"/>
            <w:szCs w:val="20"/>
            <w:u w:val="single"/>
          </w:rPr>
          <w:t>https://www.cdc.gov/violenceprevention/aces/fastfact.html</w:t>
        </w:r>
      </w:hyperlink>
      <w:r>
        <w:rPr>
          <w:rFonts w:ascii="Arial" w:eastAsia="Arial" w:hAnsi="Arial" w:cs="Arial"/>
          <w:sz w:val="20"/>
          <w:szCs w:val="20"/>
        </w:rPr>
        <w:t xml:space="preserve">) </w:t>
      </w:r>
    </w:p>
    <w:p w:rsidR="003E4C97" w:rsidRDefault="00097237">
      <w:pPr>
        <w:numPr>
          <w:ilvl w:val="0"/>
          <w:numId w:val="16"/>
        </w:numPr>
        <w:spacing w:after="0" w:line="240" w:lineRule="auto"/>
        <w:rPr>
          <w:rFonts w:ascii="Arial" w:eastAsia="Arial" w:hAnsi="Arial" w:cs="Arial"/>
          <w:sz w:val="20"/>
          <w:szCs w:val="20"/>
        </w:rPr>
      </w:pPr>
      <w:r>
        <w:rPr>
          <w:rFonts w:ascii="Arial" w:eastAsia="Arial" w:hAnsi="Arial" w:cs="Arial"/>
          <w:sz w:val="20"/>
          <w:szCs w:val="20"/>
        </w:rPr>
        <w:t>The CDC has identifi</w:t>
      </w:r>
      <w:r>
        <w:rPr>
          <w:rFonts w:ascii="Arial" w:eastAsia="Arial" w:hAnsi="Arial" w:cs="Arial"/>
          <w:sz w:val="20"/>
          <w:szCs w:val="20"/>
        </w:rPr>
        <w:t xml:space="preserve">ed </w:t>
      </w:r>
      <w:hyperlink r:id="rId14">
        <w:r>
          <w:rPr>
            <w:rFonts w:ascii="Arial" w:eastAsia="Arial" w:hAnsi="Arial" w:cs="Arial"/>
            <w:sz w:val="20"/>
            <w:szCs w:val="20"/>
          </w:rPr>
          <w:t>ways communities can prevent ACEs</w:t>
        </w:r>
      </w:hyperlink>
      <w:r>
        <w:rPr>
          <w:rFonts w:ascii="Arial" w:eastAsia="Arial" w:hAnsi="Arial" w:cs="Arial"/>
          <w:sz w:val="20"/>
          <w:szCs w:val="20"/>
        </w:rPr>
        <w:t>:</w:t>
      </w:r>
    </w:p>
    <w:p w:rsidR="003E4C97" w:rsidRDefault="00097237">
      <w:pPr>
        <w:numPr>
          <w:ilvl w:val="1"/>
          <w:numId w:val="16"/>
        </w:numPr>
        <w:spacing w:after="0" w:line="240" w:lineRule="auto"/>
        <w:rPr>
          <w:rFonts w:ascii="Arial" w:eastAsia="Arial" w:hAnsi="Arial" w:cs="Arial"/>
          <w:sz w:val="20"/>
          <w:szCs w:val="20"/>
        </w:rPr>
      </w:pPr>
      <w:bookmarkStart w:id="5" w:name="_heading=h.3d47rayh6353" w:colFirst="0" w:colLast="0"/>
      <w:bookmarkEnd w:id="5"/>
      <w:r>
        <w:rPr>
          <w:rFonts w:ascii="Arial" w:eastAsia="Arial" w:hAnsi="Arial" w:cs="Arial"/>
          <w:sz w:val="20"/>
          <w:szCs w:val="20"/>
        </w:rPr>
        <w:t>Home visiting programs for pregnant women and families of newborns</w:t>
      </w:r>
    </w:p>
    <w:p w:rsidR="003E4C97" w:rsidRDefault="00097237">
      <w:pPr>
        <w:numPr>
          <w:ilvl w:val="1"/>
          <w:numId w:val="16"/>
        </w:numPr>
        <w:spacing w:after="0" w:line="240" w:lineRule="auto"/>
        <w:rPr>
          <w:rFonts w:ascii="Arial" w:eastAsia="Arial" w:hAnsi="Arial" w:cs="Arial"/>
          <w:sz w:val="20"/>
          <w:szCs w:val="20"/>
        </w:rPr>
      </w:pPr>
      <w:r>
        <w:rPr>
          <w:rFonts w:ascii="Arial" w:eastAsia="Arial" w:hAnsi="Arial" w:cs="Arial"/>
          <w:sz w:val="20"/>
          <w:szCs w:val="20"/>
        </w:rPr>
        <w:t>Parent training programs</w:t>
      </w:r>
    </w:p>
    <w:p w:rsidR="003E4C97" w:rsidRDefault="00097237">
      <w:pPr>
        <w:numPr>
          <w:ilvl w:val="1"/>
          <w:numId w:val="16"/>
        </w:numPr>
        <w:spacing w:after="0" w:line="240" w:lineRule="auto"/>
        <w:rPr>
          <w:rFonts w:ascii="Arial" w:eastAsia="Arial" w:hAnsi="Arial" w:cs="Arial"/>
          <w:sz w:val="20"/>
          <w:szCs w:val="20"/>
        </w:rPr>
      </w:pPr>
      <w:r>
        <w:rPr>
          <w:rFonts w:ascii="Arial" w:eastAsia="Arial" w:hAnsi="Arial" w:cs="Arial"/>
          <w:sz w:val="20"/>
          <w:szCs w:val="20"/>
        </w:rPr>
        <w:t>Intimate partner violence prevention</w:t>
      </w:r>
    </w:p>
    <w:p w:rsidR="003E4C97" w:rsidRDefault="00097237">
      <w:pPr>
        <w:numPr>
          <w:ilvl w:val="1"/>
          <w:numId w:val="16"/>
        </w:numPr>
        <w:spacing w:after="0" w:line="240" w:lineRule="auto"/>
        <w:rPr>
          <w:rFonts w:ascii="Arial" w:eastAsia="Arial" w:hAnsi="Arial" w:cs="Arial"/>
          <w:sz w:val="20"/>
          <w:szCs w:val="20"/>
        </w:rPr>
      </w:pPr>
      <w:r>
        <w:rPr>
          <w:rFonts w:ascii="Arial" w:eastAsia="Arial" w:hAnsi="Arial" w:cs="Arial"/>
          <w:sz w:val="20"/>
          <w:szCs w:val="20"/>
        </w:rPr>
        <w:t>Social sup</w:t>
      </w:r>
      <w:r>
        <w:rPr>
          <w:rFonts w:ascii="Arial" w:eastAsia="Arial" w:hAnsi="Arial" w:cs="Arial"/>
          <w:sz w:val="20"/>
          <w:szCs w:val="20"/>
        </w:rPr>
        <w:t>port for parents</w:t>
      </w:r>
    </w:p>
    <w:p w:rsidR="003E4C97" w:rsidRDefault="00097237">
      <w:pPr>
        <w:numPr>
          <w:ilvl w:val="1"/>
          <w:numId w:val="16"/>
        </w:numPr>
        <w:spacing w:after="0" w:line="240" w:lineRule="auto"/>
        <w:rPr>
          <w:rFonts w:ascii="Arial" w:eastAsia="Arial" w:hAnsi="Arial" w:cs="Arial"/>
          <w:sz w:val="20"/>
          <w:szCs w:val="20"/>
        </w:rPr>
      </w:pPr>
      <w:r>
        <w:rPr>
          <w:rFonts w:ascii="Arial" w:eastAsia="Arial" w:hAnsi="Arial" w:cs="Arial"/>
          <w:sz w:val="20"/>
          <w:szCs w:val="20"/>
        </w:rPr>
        <w:t>Parent support programs for teens and teen pregnancy prevention programs</w:t>
      </w:r>
    </w:p>
    <w:p w:rsidR="003E4C97" w:rsidRDefault="00097237">
      <w:pPr>
        <w:numPr>
          <w:ilvl w:val="1"/>
          <w:numId w:val="16"/>
        </w:numPr>
        <w:spacing w:after="0" w:line="240" w:lineRule="auto"/>
        <w:rPr>
          <w:rFonts w:ascii="Arial" w:eastAsia="Arial" w:hAnsi="Arial" w:cs="Arial"/>
          <w:sz w:val="20"/>
          <w:szCs w:val="20"/>
        </w:rPr>
      </w:pPr>
      <w:r>
        <w:rPr>
          <w:rFonts w:ascii="Arial" w:eastAsia="Arial" w:hAnsi="Arial" w:cs="Arial"/>
          <w:sz w:val="20"/>
          <w:szCs w:val="20"/>
        </w:rPr>
        <w:t>Mental illness and substance abuse treatment</w:t>
      </w:r>
    </w:p>
    <w:p w:rsidR="003E4C97" w:rsidRDefault="00097237">
      <w:pPr>
        <w:numPr>
          <w:ilvl w:val="1"/>
          <w:numId w:val="16"/>
        </w:numPr>
        <w:spacing w:after="0" w:line="240" w:lineRule="auto"/>
        <w:rPr>
          <w:rFonts w:ascii="Arial" w:eastAsia="Arial" w:hAnsi="Arial" w:cs="Arial"/>
          <w:sz w:val="20"/>
          <w:szCs w:val="20"/>
        </w:rPr>
      </w:pPr>
      <w:r>
        <w:rPr>
          <w:rFonts w:ascii="Arial" w:eastAsia="Arial" w:hAnsi="Arial" w:cs="Arial"/>
          <w:sz w:val="20"/>
          <w:szCs w:val="20"/>
        </w:rPr>
        <w:t>High quality child care</w:t>
      </w:r>
    </w:p>
    <w:p w:rsidR="003E4C97" w:rsidRDefault="00097237">
      <w:pPr>
        <w:numPr>
          <w:ilvl w:val="1"/>
          <w:numId w:val="16"/>
        </w:numPr>
        <w:spacing w:after="0" w:line="240" w:lineRule="auto"/>
        <w:rPr>
          <w:rFonts w:ascii="Arial" w:eastAsia="Arial" w:hAnsi="Arial" w:cs="Arial"/>
          <w:sz w:val="20"/>
          <w:szCs w:val="20"/>
        </w:rPr>
      </w:pPr>
      <w:bookmarkStart w:id="6" w:name="_heading=h.wdxtkzbib0qz" w:colFirst="0" w:colLast="0"/>
      <w:bookmarkEnd w:id="6"/>
      <w:r>
        <w:rPr>
          <w:rFonts w:ascii="Arial" w:eastAsia="Arial" w:hAnsi="Arial" w:cs="Arial"/>
          <w:sz w:val="20"/>
          <w:szCs w:val="20"/>
        </w:rPr>
        <w:t>Sufficient income support for lower income families</w:t>
      </w:r>
    </w:p>
    <w:p w:rsidR="003E4C97" w:rsidRDefault="003E4C97">
      <w:pPr>
        <w:spacing w:after="0"/>
        <w:rPr>
          <w:rFonts w:ascii="Arial" w:eastAsia="Arial" w:hAnsi="Arial" w:cs="Arial"/>
          <w:b/>
          <w:sz w:val="20"/>
          <w:szCs w:val="20"/>
        </w:rPr>
      </w:pPr>
    </w:p>
    <w:p w:rsidR="003E4C97" w:rsidRDefault="00097237">
      <w:pPr>
        <w:spacing w:after="0"/>
        <w:rPr>
          <w:rFonts w:ascii="Arial" w:eastAsia="Arial" w:hAnsi="Arial" w:cs="Arial"/>
          <w:sz w:val="20"/>
          <w:szCs w:val="20"/>
        </w:rPr>
      </w:pPr>
      <w:r>
        <w:rPr>
          <w:rFonts w:ascii="Arial" w:eastAsia="Arial" w:hAnsi="Arial" w:cs="Arial"/>
          <w:b/>
          <w:sz w:val="20"/>
          <w:szCs w:val="20"/>
        </w:rPr>
        <w:t>Social Determinants of Health (SDHs):</w:t>
      </w:r>
      <w:r>
        <w:rPr>
          <w:rFonts w:ascii="Arial" w:eastAsia="Arial" w:hAnsi="Arial" w:cs="Arial"/>
          <w:sz w:val="20"/>
          <w:szCs w:val="20"/>
        </w:rPr>
        <w:t xml:space="preserve"> Condit</w:t>
      </w:r>
      <w:r>
        <w:rPr>
          <w:rFonts w:ascii="Arial" w:eastAsia="Arial" w:hAnsi="Arial" w:cs="Arial"/>
          <w:sz w:val="20"/>
          <w:szCs w:val="20"/>
        </w:rPr>
        <w:t xml:space="preserve">ions in the environments where people are born, live, learn, work, play, worship and age that affect a wide range of health functioning and quality-of-life outcomes. </w:t>
      </w:r>
    </w:p>
    <w:p w:rsidR="003E4C97" w:rsidRDefault="00097237">
      <w:pPr>
        <w:numPr>
          <w:ilvl w:val="0"/>
          <w:numId w:val="4"/>
        </w:numPr>
        <w:spacing w:after="0"/>
        <w:ind w:left="360"/>
        <w:rPr>
          <w:rFonts w:ascii="Arial" w:eastAsia="Arial" w:hAnsi="Arial" w:cs="Arial"/>
          <w:sz w:val="20"/>
          <w:szCs w:val="20"/>
        </w:rPr>
      </w:pPr>
      <w:r>
        <w:rPr>
          <w:rFonts w:ascii="Arial" w:eastAsia="Arial" w:hAnsi="Arial" w:cs="Arial"/>
          <w:sz w:val="20"/>
          <w:szCs w:val="20"/>
          <w:u w:val="single"/>
        </w:rPr>
        <w:t>Healthy People 2030 has classified social determinants of health into five domains</w:t>
      </w:r>
      <w:r>
        <w:rPr>
          <w:rFonts w:ascii="Arial" w:eastAsia="Arial" w:hAnsi="Arial" w:cs="Arial"/>
          <w:sz w:val="20"/>
          <w:szCs w:val="20"/>
        </w:rPr>
        <w:t>:</w:t>
      </w:r>
    </w:p>
    <w:p w:rsidR="003E4C97" w:rsidRDefault="00097237">
      <w:pPr>
        <w:numPr>
          <w:ilvl w:val="1"/>
          <w:numId w:val="4"/>
        </w:numPr>
        <w:spacing w:after="0"/>
        <w:ind w:left="1080"/>
        <w:rPr>
          <w:rFonts w:ascii="Arial" w:eastAsia="Arial" w:hAnsi="Arial" w:cs="Arial"/>
          <w:sz w:val="20"/>
          <w:szCs w:val="20"/>
        </w:rPr>
      </w:pPr>
      <w:r>
        <w:rPr>
          <w:rFonts w:ascii="Arial" w:eastAsia="Arial" w:hAnsi="Arial" w:cs="Arial"/>
          <w:sz w:val="20"/>
          <w:szCs w:val="20"/>
        </w:rPr>
        <w:t>Economic stability</w:t>
      </w:r>
    </w:p>
    <w:p w:rsidR="003E4C97" w:rsidRDefault="00097237">
      <w:pPr>
        <w:numPr>
          <w:ilvl w:val="1"/>
          <w:numId w:val="4"/>
        </w:numPr>
        <w:spacing w:after="0"/>
        <w:ind w:left="1080"/>
        <w:rPr>
          <w:rFonts w:ascii="Arial" w:eastAsia="Arial" w:hAnsi="Arial" w:cs="Arial"/>
          <w:sz w:val="20"/>
          <w:szCs w:val="20"/>
        </w:rPr>
      </w:pPr>
      <w:r>
        <w:rPr>
          <w:rFonts w:ascii="Arial" w:eastAsia="Arial" w:hAnsi="Arial" w:cs="Arial"/>
          <w:sz w:val="20"/>
          <w:szCs w:val="20"/>
        </w:rPr>
        <w:t>Education access and quality</w:t>
      </w:r>
    </w:p>
    <w:p w:rsidR="003E4C97" w:rsidRDefault="00097237">
      <w:pPr>
        <w:numPr>
          <w:ilvl w:val="1"/>
          <w:numId w:val="4"/>
        </w:numPr>
        <w:spacing w:after="0"/>
        <w:ind w:left="1080"/>
        <w:rPr>
          <w:rFonts w:ascii="Arial" w:eastAsia="Arial" w:hAnsi="Arial" w:cs="Arial"/>
          <w:sz w:val="20"/>
          <w:szCs w:val="20"/>
        </w:rPr>
      </w:pPr>
      <w:r>
        <w:rPr>
          <w:rFonts w:ascii="Arial" w:eastAsia="Arial" w:hAnsi="Arial" w:cs="Arial"/>
          <w:sz w:val="20"/>
          <w:szCs w:val="20"/>
        </w:rPr>
        <w:t>Social and community context</w:t>
      </w:r>
    </w:p>
    <w:p w:rsidR="003E4C97" w:rsidRDefault="00097237">
      <w:pPr>
        <w:numPr>
          <w:ilvl w:val="1"/>
          <w:numId w:val="4"/>
        </w:numPr>
        <w:spacing w:after="0"/>
        <w:ind w:left="1080"/>
        <w:rPr>
          <w:rFonts w:ascii="Arial" w:eastAsia="Arial" w:hAnsi="Arial" w:cs="Arial"/>
          <w:sz w:val="20"/>
          <w:szCs w:val="20"/>
        </w:rPr>
      </w:pPr>
      <w:r>
        <w:rPr>
          <w:rFonts w:ascii="Arial" w:eastAsia="Arial" w:hAnsi="Arial" w:cs="Arial"/>
          <w:sz w:val="20"/>
          <w:szCs w:val="20"/>
        </w:rPr>
        <w:t>Health care access and quality</w:t>
      </w:r>
    </w:p>
    <w:p w:rsidR="003E4C97" w:rsidRDefault="00097237">
      <w:pPr>
        <w:numPr>
          <w:ilvl w:val="1"/>
          <w:numId w:val="4"/>
        </w:numPr>
        <w:spacing w:after="0"/>
        <w:ind w:left="1080"/>
        <w:rPr>
          <w:rFonts w:ascii="Arial" w:eastAsia="Arial" w:hAnsi="Arial" w:cs="Arial"/>
          <w:sz w:val="20"/>
          <w:szCs w:val="20"/>
        </w:rPr>
      </w:pPr>
      <w:r>
        <w:rPr>
          <w:rFonts w:ascii="Arial" w:eastAsia="Arial" w:hAnsi="Arial" w:cs="Arial"/>
          <w:sz w:val="20"/>
          <w:szCs w:val="20"/>
        </w:rPr>
        <w:t>Neighborhood and built environment</w:t>
      </w:r>
    </w:p>
    <w:p w:rsidR="003E4C97" w:rsidRDefault="00097237">
      <w:pPr>
        <w:numPr>
          <w:ilvl w:val="0"/>
          <w:numId w:val="5"/>
        </w:numPr>
        <w:ind w:left="360"/>
        <w:rPr>
          <w:rFonts w:ascii="Arial" w:eastAsia="Arial" w:hAnsi="Arial" w:cs="Arial"/>
          <w:sz w:val="20"/>
          <w:szCs w:val="20"/>
        </w:rPr>
      </w:pPr>
      <w:bookmarkStart w:id="7" w:name="_heading=h.jq2fa4hgqtw7" w:colFirst="0" w:colLast="0"/>
      <w:bookmarkEnd w:id="7"/>
      <w:r>
        <w:rPr>
          <w:rFonts w:ascii="Arial" w:eastAsia="Arial" w:hAnsi="Arial" w:cs="Arial"/>
          <w:sz w:val="20"/>
          <w:szCs w:val="20"/>
        </w:rPr>
        <w:t>Examples: Childhood experiences, safe housing, transportation, education, language and literacy skills, social su</w:t>
      </w:r>
      <w:r>
        <w:rPr>
          <w:rFonts w:ascii="Arial" w:eastAsia="Arial" w:hAnsi="Arial" w:cs="Arial"/>
          <w:sz w:val="20"/>
          <w:szCs w:val="20"/>
        </w:rPr>
        <w:t>pport, family income, employment, our communities, racism, discrimination, violence, access to nutritious foods and physical activity opportunities, and access to health services.</w:t>
      </w:r>
    </w:p>
    <w:sectPr w:rsidR="003E4C97">
      <w:headerReference w:type="default" r:id="rId15"/>
      <w:footerReference w:type="default" r:id="rId16"/>
      <w:pgSz w:w="12240" w:h="15840"/>
      <w:pgMar w:top="1008" w:right="1296" w:bottom="1008"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237" w:rsidRDefault="00097237">
      <w:pPr>
        <w:spacing w:after="0" w:line="240" w:lineRule="auto"/>
      </w:pPr>
      <w:r>
        <w:separator/>
      </w:r>
    </w:p>
  </w:endnote>
  <w:endnote w:type="continuationSeparator" w:id="0">
    <w:p w:rsidR="00097237" w:rsidRDefault="0009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97" w:rsidRDefault="0009723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8A6B6B">
      <w:rPr>
        <w:color w:val="000000"/>
      </w:rPr>
      <w:fldChar w:fldCharType="separate"/>
    </w:r>
    <w:r w:rsidR="008A6B6B">
      <w:rPr>
        <w:noProof/>
        <w:color w:val="000000"/>
      </w:rPr>
      <w:t>1</w:t>
    </w:r>
    <w:r>
      <w:rPr>
        <w:color w:val="000000"/>
      </w:rPr>
      <w:fldChar w:fldCharType="end"/>
    </w:r>
  </w:p>
  <w:p w:rsidR="003E4C97" w:rsidRDefault="00097237">
    <w:pPr>
      <w:pBdr>
        <w:top w:val="nil"/>
        <w:left w:val="nil"/>
        <w:bottom w:val="nil"/>
        <w:right w:val="nil"/>
        <w:between w:val="nil"/>
      </w:pBdr>
      <w:tabs>
        <w:tab w:val="center" w:pos="4680"/>
        <w:tab w:val="right" w:pos="9360"/>
      </w:tabs>
      <w:spacing w:after="0" w:line="240" w:lineRule="auto"/>
      <w:rPr>
        <w:color w:val="000000"/>
      </w:rPr>
    </w:pPr>
    <w:r>
      <w:rPr>
        <w:color w:val="000000"/>
      </w:rPr>
      <w:t>3/2</w:t>
    </w:r>
    <w:r w:rsidR="00774262">
      <w:rPr>
        <w:color w:val="000000"/>
      </w:rPr>
      <w:t>9</w:t>
    </w:r>
    <w:r>
      <w:rPr>
        <w:color w:val="00000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237" w:rsidRDefault="00097237">
      <w:pPr>
        <w:spacing w:after="0" w:line="240" w:lineRule="auto"/>
      </w:pPr>
      <w:r>
        <w:separator/>
      </w:r>
    </w:p>
  </w:footnote>
  <w:footnote w:type="continuationSeparator" w:id="0">
    <w:p w:rsidR="00097237" w:rsidRDefault="0009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C97" w:rsidRDefault="00097237">
    <w:pPr>
      <w:widowControl w:val="0"/>
      <w:pBdr>
        <w:top w:val="nil"/>
        <w:left w:val="nil"/>
        <w:bottom w:val="nil"/>
        <w:right w:val="nil"/>
        <w:between w:val="nil"/>
      </w:pBdr>
      <w:spacing w:after="0" w:line="276" w:lineRule="auto"/>
      <w:rPr>
        <w:rFonts w:ascii="Arial" w:eastAsia="Arial" w:hAnsi="Arial" w:cs="Arial"/>
        <w:b/>
        <w:color w:val="000000"/>
        <w:sz w:val="28"/>
        <w:szCs w:val="28"/>
      </w:rPr>
    </w:pPr>
    <w:r>
      <w:rPr>
        <w:rFonts w:ascii="Arial" w:eastAsia="Arial" w:hAnsi="Arial" w:cs="Arial"/>
        <w:b/>
        <w:color w:val="000000"/>
        <w:sz w:val="28"/>
        <w:szCs w:val="28"/>
      </w:rPr>
      <w:t>Wood C</w:t>
    </w:r>
    <w:r>
      <w:rPr>
        <w:rFonts w:ascii="Arial" w:eastAsia="Arial" w:hAnsi="Arial" w:cs="Arial"/>
        <w:b/>
        <w:color w:val="000000"/>
        <w:sz w:val="28"/>
        <w:szCs w:val="28"/>
      </w:rPr>
      <w:t>ounty 2021 Community Health Assessment</w:t>
    </w:r>
  </w:p>
  <w:p w:rsidR="003E4C97" w:rsidRDefault="00097237">
    <w:pPr>
      <w:widowControl w:val="0"/>
      <w:pBdr>
        <w:top w:val="nil"/>
        <w:left w:val="nil"/>
        <w:bottom w:val="nil"/>
        <w:right w:val="nil"/>
        <w:between w:val="nil"/>
      </w:pBdr>
      <w:spacing w:after="0" w:line="276" w:lineRule="auto"/>
      <w:rPr>
        <w:rFonts w:ascii="Arial" w:eastAsia="Arial" w:hAnsi="Arial" w:cs="Arial"/>
        <w:b/>
        <w:color w:val="000000"/>
        <w:sz w:val="24"/>
        <w:szCs w:val="24"/>
      </w:rPr>
    </w:pPr>
    <w:r>
      <w:rPr>
        <w:rFonts w:ascii="Arial" w:eastAsia="Arial" w:hAnsi="Arial" w:cs="Arial"/>
        <w:b/>
        <w:color w:val="000000"/>
        <w:sz w:val="24"/>
        <w:szCs w:val="24"/>
      </w:rPr>
      <w:t>Executive Summary</w:t>
    </w:r>
  </w:p>
  <w:p w:rsidR="003E4C97" w:rsidRDefault="003E4C9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1896"/>
    <w:multiLevelType w:val="multilevel"/>
    <w:tmpl w:val="E3F836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00961B78"/>
    <w:multiLevelType w:val="multilevel"/>
    <w:tmpl w:val="25441B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09A31FA"/>
    <w:multiLevelType w:val="multilevel"/>
    <w:tmpl w:val="084E1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9F2F63"/>
    <w:multiLevelType w:val="multilevel"/>
    <w:tmpl w:val="3EACD01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149253CE"/>
    <w:multiLevelType w:val="multilevel"/>
    <w:tmpl w:val="7786B9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7074F6"/>
    <w:multiLevelType w:val="multilevel"/>
    <w:tmpl w:val="98D0D8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A9B6E15"/>
    <w:multiLevelType w:val="multilevel"/>
    <w:tmpl w:val="B2448A4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1B6E715F"/>
    <w:multiLevelType w:val="multilevel"/>
    <w:tmpl w:val="2F1811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20ED5B97"/>
    <w:multiLevelType w:val="multilevel"/>
    <w:tmpl w:val="D53CE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1193C8F"/>
    <w:multiLevelType w:val="multilevel"/>
    <w:tmpl w:val="F38E21C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F02D08"/>
    <w:multiLevelType w:val="multilevel"/>
    <w:tmpl w:val="7FBE0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4A41A8"/>
    <w:multiLevelType w:val="multilevel"/>
    <w:tmpl w:val="36B66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EE3A0F"/>
    <w:multiLevelType w:val="multilevel"/>
    <w:tmpl w:val="288CD1B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6CE437F9"/>
    <w:multiLevelType w:val="multilevel"/>
    <w:tmpl w:val="FB3E351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72376653"/>
    <w:multiLevelType w:val="multilevel"/>
    <w:tmpl w:val="7CC27BB8"/>
    <w:lvl w:ilvl="0">
      <w:start w:val="1"/>
      <w:numFmt w:val="bullet"/>
      <w:lvlText w:val="●"/>
      <w:lvlJc w:val="left"/>
      <w:pPr>
        <w:ind w:left="695" w:hanging="360"/>
      </w:pPr>
      <w:rPr>
        <w:u w:val="none"/>
      </w:rPr>
    </w:lvl>
    <w:lvl w:ilvl="1">
      <w:start w:val="1"/>
      <w:numFmt w:val="bullet"/>
      <w:lvlText w:val="○"/>
      <w:lvlJc w:val="left"/>
      <w:pPr>
        <w:ind w:left="1415" w:hanging="360"/>
      </w:pPr>
      <w:rPr>
        <w:u w:val="none"/>
      </w:rPr>
    </w:lvl>
    <w:lvl w:ilvl="2">
      <w:start w:val="1"/>
      <w:numFmt w:val="bullet"/>
      <w:lvlText w:val="■"/>
      <w:lvlJc w:val="left"/>
      <w:pPr>
        <w:ind w:left="2135" w:hanging="360"/>
      </w:pPr>
      <w:rPr>
        <w:u w:val="none"/>
      </w:rPr>
    </w:lvl>
    <w:lvl w:ilvl="3">
      <w:start w:val="1"/>
      <w:numFmt w:val="bullet"/>
      <w:lvlText w:val="●"/>
      <w:lvlJc w:val="left"/>
      <w:pPr>
        <w:ind w:left="2855" w:hanging="360"/>
      </w:pPr>
      <w:rPr>
        <w:u w:val="none"/>
      </w:rPr>
    </w:lvl>
    <w:lvl w:ilvl="4">
      <w:start w:val="1"/>
      <w:numFmt w:val="bullet"/>
      <w:lvlText w:val="○"/>
      <w:lvlJc w:val="left"/>
      <w:pPr>
        <w:ind w:left="3575" w:hanging="360"/>
      </w:pPr>
      <w:rPr>
        <w:u w:val="none"/>
      </w:rPr>
    </w:lvl>
    <w:lvl w:ilvl="5">
      <w:start w:val="1"/>
      <w:numFmt w:val="bullet"/>
      <w:lvlText w:val="■"/>
      <w:lvlJc w:val="left"/>
      <w:pPr>
        <w:ind w:left="4295" w:hanging="360"/>
      </w:pPr>
      <w:rPr>
        <w:u w:val="none"/>
      </w:rPr>
    </w:lvl>
    <w:lvl w:ilvl="6">
      <w:start w:val="1"/>
      <w:numFmt w:val="bullet"/>
      <w:lvlText w:val="●"/>
      <w:lvlJc w:val="left"/>
      <w:pPr>
        <w:ind w:left="5015" w:hanging="360"/>
      </w:pPr>
      <w:rPr>
        <w:u w:val="none"/>
      </w:rPr>
    </w:lvl>
    <w:lvl w:ilvl="7">
      <w:start w:val="1"/>
      <w:numFmt w:val="bullet"/>
      <w:lvlText w:val="○"/>
      <w:lvlJc w:val="left"/>
      <w:pPr>
        <w:ind w:left="5735" w:hanging="360"/>
      </w:pPr>
      <w:rPr>
        <w:u w:val="none"/>
      </w:rPr>
    </w:lvl>
    <w:lvl w:ilvl="8">
      <w:start w:val="1"/>
      <w:numFmt w:val="bullet"/>
      <w:lvlText w:val="■"/>
      <w:lvlJc w:val="left"/>
      <w:pPr>
        <w:ind w:left="6455" w:hanging="360"/>
      </w:pPr>
      <w:rPr>
        <w:u w:val="none"/>
      </w:rPr>
    </w:lvl>
  </w:abstractNum>
  <w:abstractNum w:abstractNumId="15" w15:restartNumberingAfterBreak="0">
    <w:nsid w:val="747202BD"/>
    <w:multiLevelType w:val="multilevel"/>
    <w:tmpl w:val="5E3CA7B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77DB5E39"/>
    <w:multiLevelType w:val="multilevel"/>
    <w:tmpl w:val="D2FA57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6"/>
  </w:num>
  <w:num w:numId="2">
    <w:abstractNumId w:val="4"/>
  </w:num>
  <w:num w:numId="3">
    <w:abstractNumId w:val="15"/>
  </w:num>
  <w:num w:numId="4">
    <w:abstractNumId w:val="11"/>
  </w:num>
  <w:num w:numId="5">
    <w:abstractNumId w:val="2"/>
  </w:num>
  <w:num w:numId="6">
    <w:abstractNumId w:val="6"/>
  </w:num>
  <w:num w:numId="7">
    <w:abstractNumId w:val="12"/>
  </w:num>
  <w:num w:numId="8">
    <w:abstractNumId w:val="3"/>
  </w:num>
  <w:num w:numId="9">
    <w:abstractNumId w:val="10"/>
  </w:num>
  <w:num w:numId="10">
    <w:abstractNumId w:val="9"/>
  </w:num>
  <w:num w:numId="11">
    <w:abstractNumId w:val="0"/>
  </w:num>
  <w:num w:numId="12">
    <w:abstractNumId w:val="8"/>
  </w:num>
  <w:num w:numId="13">
    <w:abstractNumId w:val="5"/>
  </w:num>
  <w:num w:numId="14">
    <w:abstractNumId w:val="7"/>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97"/>
    <w:rsid w:val="00097237"/>
    <w:rsid w:val="003E4C97"/>
    <w:rsid w:val="00774262"/>
    <w:rsid w:val="007A7025"/>
    <w:rsid w:val="008A6B6B"/>
    <w:rsid w:val="00BA2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81EC"/>
  <w15:docId w15:val="{A2A2EBBD-C787-4D0F-99C6-4BF1D1A8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A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390"/>
    <w:pPr>
      <w:ind w:left="720"/>
      <w:contextualSpacing/>
    </w:pPr>
  </w:style>
  <w:style w:type="paragraph" w:styleId="NormalWeb">
    <w:name w:val="Normal (Web)"/>
    <w:basedOn w:val="Normal"/>
    <w:uiPriority w:val="99"/>
    <w:semiHidden/>
    <w:unhideWhenUsed/>
    <w:rsid w:val="002027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09AB"/>
    <w:rPr>
      <w:b/>
      <w:bCs/>
    </w:rPr>
  </w:style>
  <w:style w:type="table" w:styleId="GridTable1Light-Accent3">
    <w:name w:val="Grid Table 1 Light Accent 3"/>
    <w:basedOn w:val="TableNormal"/>
    <w:uiPriority w:val="46"/>
    <w:rsid w:val="008D69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D690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D69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D69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D69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94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835"/>
  </w:style>
  <w:style w:type="paragraph" w:styleId="Footer">
    <w:name w:val="footer"/>
    <w:basedOn w:val="Normal"/>
    <w:link w:val="FooterChar"/>
    <w:uiPriority w:val="99"/>
    <w:unhideWhenUsed/>
    <w:rsid w:val="00394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835"/>
  </w:style>
  <w:style w:type="table" w:customStyle="1" w:styleId="a5">
    <w:basedOn w:val="TableNormal"/>
    <w:pPr>
      <w:spacing w:after="0" w:line="240" w:lineRule="auto"/>
    </w:pPr>
    <w:tblPr>
      <w:tblStyleRowBandSize w:val="1"/>
      <w:tblStyleColBandSize w:val="1"/>
      <w:tblCellMar>
        <w:top w:w="58" w:type="dxa"/>
        <w:left w:w="100" w:type="dxa"/>
        <w:bottom w:w="58"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6">
    <w:basedOn w:val="TableNormal"/>
    <w:pPr>
      <w:spacing w:after="0" w:line="240" w:lineRule="auto"/>
    </w:pPr>
    <w:tblPr>
      <w:tblStyleRowBandSize w:val="1"/>
      <w:tblStyleColBandSize w:val="1"/>
      <w:tblCellMar>
        <w:top w:w="29" w:type="dxa"/>
        <w:left w:w="100" w:type="dxa"/>
        <w:bottom w:w="29" w:type="dxa"/>
        <w:right w:w="100" w:type="dxa"/>
      </w:tblCellMar>
    </w:tblPr>
  </w:style>
  <w:style w:type="table" w:customStyle="1" w:styleId="a7">
    <w:basedOn w:val="TableNormal"/>
    <w:pPr>
      <w:spacing w:after="0" w:line="240" w:lineRule="auto"/>
    </w:pPr>
    <w:tblPr>
      <w:tblStyleRowBandSize w:val="1"/>
      <w:tblStyleColBandSize w:val="1"/>
      <w:tblCellMar>
        <w:top w:w="29" w:type="dxa"/>
        <w:left w:w="100" w:type="dxa"/>
        <w:bottom w:w="29" w:type="dxa"/>
        <w:right w:w="100"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8">
    <w:basedOn w:val="TableNormal"/>
    <w:pPr>
      <w:spacing w:after="0" w:line="240" w:lineRule="auto"/>
    </w:pPr>
    <w:tblPr>
      <w:tblStyleRowBandSize w:val="1"/>
      <w:tblStyleColBandSize w:val="1"/>
      <w:tblCellMar>
        <w:top w:w="58" w:type="dxa"/>
        <w:left w:w="100" w:type="dxa"/>
        <w:bottom w:w="58" w:type="dxa"/>
        <w:right w:w="100" w:type="dxa"/>
      </w:tblCellMar>
    </w:tblPr>
  </w:style>
  <w:style w:type="table" w:customStyle="1" w:styleId="a9">
    <w:basedOn w:val="TableNormal"/>
    <w:pPr>
      <w:spacing w:after="0" w:line="240" w:lineRule="auto"/>
    </w:pPr>
    <w:tblPr>
      <w:tblStyleRowBandSize w:val="1"/>
      <w:tblStyleColBandSize w:val="1"/>
      <w:tblCellMar>
        <w:top w:w="58" w:type="dxa"/>
        <w:left w:w="100" w:type="dxa"/>
        <w:bottom w:w="58"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violenceprevention/aces/fastfac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violenceprevention/aces/preven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NESqk2MO1KdHKdbW+TSgfRnvg==">AMUW2mXIiZOvFbWTbmbkKO9XXouPAr/dCxQo56ZedDbz1YJphb8Qg1HYte355VjjyaSthDP0td7dL/vjdf06ME21KK0M+z6wIvS/lu2bqHHCPl/MWpBRVQ3LCHqPKR8qr2/MWpxZ9LuVNgCjZ2KMBIW4RHZYJJpEqKTt58r3Xsw5DXNWvtnvSTOdz9ikGOPKgXGnSYpKKlym3EwLQPu8a3LKUxIY0jwe1nr4hLhNqbHFdbEedWFICwaP8AtPOKhddV0v2X9w+DvB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Wood County Health Department</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Tagoe, Ishmael</dc:creator>
  <cp:lastModifiedBy>Peery, Elizabeth</cp:lastModifiedBy>
  <cp:revision>3</cp:revision>
  <dcterms:created xsi:type="dcterms:W3CDTF">2022-03-29T20:27:00Z</dcterms:created>
  <dcterms:modified xsi:type="dcterms:W3CDTF">2022-03-29T20:47:00Z</dcterms:modified>
</cp:coreProperties>
</file>